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CE93" w14:textId="64D42127" w:rsidR="00F47F84" w:rsidRPr="008D2C8A" w:rsidRDefault="00F47F84" w:rsidP="00134F92">
      <w:pPr>
        <w:pStyle w:val="Akapitzlist"/>
        <w:widowControl w:val="0"/>
        <w:suppressAutoHyphens/>
        <w:spacing w:before="120" w:after="120"/>
        <w:contextualSpacing w:val="0"/>
        <w:jc w:val="right"/>
        <w:rPr>
          <w:rFonts w:cs="Calibri"/>
          <w:i/>
        </w:rPr>
      </w:pPr>
    </w:p>
    <w:p w14:paraId="4F0C3FBD" w14:textId="30598E1F" w:rsidR="005F3EAE" w:rsidRPr="008D2C8A" w:rsidRDefault="008A663E" w:rsidP="00134F92">
      <w:pPr>
        <w:pStyle w:val="Akapitzlist"/>
        <w:widowControl w:val="0"/>
        <w:suppressAutoHyphens/>
        <w:spacing w:before="120" w:after="120"/>
        <w:ind w:left="0"/>
        <w:contextualSpacing w:val="0"/>
        <w:jc w:val="center"/>
        <w:rPr>
          <w:rFonts w:cs="Calibri"/>
          <w:b/>
        </w:rPr>
      </w:pPr>
      <w:r w:rsidRPr="008D2C8A">
        <w:rPr>
          <w:rFonts w:cs="Calibri"/>
          <w:b/>
        </w:rPr>
        <w:t>Karta Produktu</w:t>
      </w:r>
    </w:p>
    <w:p w14:paraId="23F608FC" w14:textId="2CBE5193" w:rsidR="005F3EAE" w:rsidRPr="008D2C8A" w:rsidRDefault="00EE5106" w:rsidP="00134F92">
      <w:pPr>
        <w:pStyle w:val="Akapitzlist"/>
        <w:widowControl w:val="0"/>
        <w:suppressAutoHyphens/>
        <w:spacing w:before="120" w:after="120"/>
        <w:ind w:left="0"/>
        <w:contextualSpacing w:val="0"/>
        <w:jc w:val="center"/>
        <w:rPr>
          <w:rFonts w:cs="Calibri"/>
          <w:b/>
        </w:rPr>
      </w:pPr>
      <w:r w:rsidRPr="008D2C8A">
        <w:rPr>
          <w:rFonts w:cs="Calibri"/>
          <w:b/>
        </w:rPr>
        <w:t>Pożyczka</w:t>
      </w:r>
      <w:r w:rsidR="006B7F73" w:rsidRPr="008D2C8A">
        <w:rPr>
          <w:rFonts w:cs="Calibri"/>
          <w:b/>
        </w:rPr>
        <w:t xml:space="preserve"> </w:t>
      </w:r>
      <w:r w:rsidR="0054646E" w:rsidRPr="008D2C8A">
        <w:rPr>
          <w:rFonts w:cs="Calibri"/>
          <w:b/>
        </w:rPr>
        <w:t>na rozwój turystyki</w:t>
      </w:r>
    </w:p>
    <w:p w14:paraId="30C35E6D" w14:textId="77777777" w:rsidR="00AD1A5D" w:rsidRPr="008D2C8A" w:rsidRDefault="00AD1A5D" w:rsidP="00134F92">
      <w:pPr>
        <w:pStyle w:val="Akapitzlist"/>
        <w:widowControl w:val="0"/>
        <w:suppressAutoHyphens/>
        <w:spacing w:before="120" w:after="120"/>
        <w:ind w:left="0"/>
        <w:contextualSpacing w:val="0"/>
        <w:jc w:val="both"/>
        <w:rPr>
          <w:rFonts w:cs="Calibri"/>
        </w:rPr>
      </w:pPr>
    </w:p>
    <w:p w14:paraId="79970E77" w14:textId="729BE1B5" w:rsidR="007678C3" w:rsidRPr="008D2C8A" w:rsidRDefault="007678C3" w:rsidP="0044720A">
      <w:pPr>
        <w:pStyle w:val="Akapitzlist"/>
        <w:widowControl w:val="0"/>
        <w:numPr>
          <w:ilvl w:val="0"/>
          <w:numId w:val="4"/>
        </w:numPr>
        <w:suppressAutoHyphens/>
        <w:spacing w:before="120" w:after="120"/>
        <w:ind w:left="425" w:hanging="425"/>
        <w:contextualSpacing w:val="0"/>
        <w:jc w:val="both"/>
        <w:rPr>
          <w:rFonts w:cs="Calibri"/>
          <w:b/>
        </w:rPr>
      </w:pPr>
      <w:r w:rsidRPr="008D2C8A">
        <w:rPr>
          <w:rFonts w:cs="Calibri"/>
          <w:b/>
        </w:rPr>
        <w:t xml:space="preserve">Podstawowe parametry </w:t>
      </w:r>
      <w:r w:rsidR="00EE5106" w:rsidRPr="008D2C8A">
        <w:rPr>
          <w:rFonts w:cs="Calibri"/>
          <w:b/>
        </w:rPr>
        <w:t>P</w:t>
      </w:r>
      <w:r w:rsidR="00CC1E53" w:rsidRPr="008D2C8A">
        <w:rPr>
          <w:rFonts w:cs="Calibri"/>
          <w:b/>
        </w:rPr>
        <w:t>ożyczek</w:t>
      </w:r>
    </w:p>
    <w:p w14:paraId="64D5B489" w14:textId="749C100F" w:rsidR="00C45623" w:rsidRPr="008D2C8A" w:rsidRDefault="007678C3" w:rsidP="0044720A">
      <w:pPr>
        <w:pStyle w:val="Akapitzlist"/>
        <w:widowControl w:val="0"/>
        <w:numPr>
          <w:ilvl w:val="0"/>
          <w:numId w:val="19"/>
        </w:numPr>
        <w:suppressAutoHyphens/>
        <w:spacing w:before="120" w:after="120"/>
        <w:ind w:left="426" w:hanging="426"/>
        <w:contextualSpacing w:val="0"/>
        <w:jc w:val="both"/>
        <w:rPr>
          <w:rFonts w:cs="Calibri"/>
        </w:rPr>
      </w:pPr>
      <w:r w:rsidRPr="008D2C8A">
        <w:rPr>
          <w:rFonts w:cs="Calibri"/>
        </w:rPr>
        <w:t xml:space="preserve">Wartość </w:t>
      </w:r>
      <w:r w:rsidR="00EE5106" w:rsidRPr="008D2C8A">
        <w:rPr>
          <w:rFonts w:cs="Calibri"/>
        </w:rPr>
        <w:t>P</w:t>
      </w:r>
      <w:r w:rsidRPr="008D2C8A">
        <w:rPr>
          <w:rFonts w:cs="Calibri"/>
        </w:rPr>
        <w:t xml:space="preserve">ożyczki </w:t>
      </w:r>
      <w:r w:rsidR="002F2365" w:rsidRPr="008D2C8A">
        <w:rPr>
          <w:rFonts w:cs="Calibri"/>
        </w:rPr>
        <w:t xml:space="preserve">wynosi do </w:t>
      </w:r>
      <w:r w:rsidR="00EB7A82" w:rsidRPr="008D2C8A">
        <w:rPr>
          <w:rFonts w:cs="Calibri"/>
        </w:rPr>
        <w:t>1</w:t>
      </w:r>
      <w:r w:rsidR="006B7F73" w:rsidRPr="008D2C8A">
        <w:rPr>
          <w:rFonts w:cs="Calibri"/>
        </w:rPr>
        <w:t xml:space="preserve"> 000 000,00 </w:t>
      </w:r>
      <w:r w:rsidR="009D2638" w:rsidRPr="008D2C8A">
        <w:rPr>
          <w:rFonts w:cs="Calibri"/>
        </w:rPr>
        <w:t>PLN</w:t>
      </w:r>
      <w:r w:rsidRPr="008D2C8A">
        <w:rPr>
          <w:rFonts w:cs="Calibri"/>
        </w:rPr>
        <w:t>.</w:t>
      </w:r>
    </w:p>
    <w:p w14:paraId="2F18797D" w14:textId="5DD6D54E" w:rsidR="005E0CB1" w:rsidRPr="008D2C8A" w:rsidRDefault="00097D21" w:rsidP="0044720A">
      <w:pPr>
        <w:pStyle w:val="Akapitzlist"/>
        <w:widowControl w:val="0"/>
        <w:numPr>
          <w:ilvl w:val="0"/>
          <w:numId w:val="19"/>
        </w:numPr>
        <w:suppressAutoHyphens/>
        <w:spacing w:before="120" w:after="120"/>
        <w:ind w:left="426" w:hanging="426"/>
        <w:contextualSpacing w:val="0"/>
        <w:jc w:val="both"/>
        <w:rPr>
          <w:rFonts w:cs="Calibri"/>
        </w:rPr>
      </w:pPr>
      <w:r w:rsidRPr="008D2C8A">
        <w:rPr>
          <w:rFonts w:cs="Calibri"/>
        </w:rPr>
        <w:t xml:space="preserve">Maksymalny okres spłaty </w:t>
      </w:r>
      <w:r w:rsidR="00EE5106" w:rsidRPr="008D2C8A">
        <w:rPr>
          <w:rFonts w:cs="Calibri"/>
        </w:rPr>
        <w:t>Pożyczki</w:t>
      </w:r>
      <w:r w:rsidRPr="008D2C8A">
        <w:rPr>
          <w:rFonts w:cs="Calibri"/>
        </w:rPr>
        <w:t xml:space="preserve"> </w:t>
      </w:r>
      <w:r w:rsidR="00121F2F" w:rsidRPr="008D2C8A">
        <w:rPr>
          <w:rFonts w:cs="Calibri"/>
        </w:rPr>
        <w:t xml:space="preserve">określony w </w:t>
      </w:r>
      <w:r w:rsidR="00606373" w:rsidRPr="008D2C8A">
        <w:rPr>
          <w:rFonts w:cs="Calibri"/>
        </w:rPr>
        <w:t>umowie pożyczki</w:t>
      </w:r>
      <w:r w:rsidR="00121F2F" w:rsidRPr="008D2C8A">
        <w:rPr>
          <w:rFonts w:cs="Calibri"/>
        </w:rPr>
        <w:t xml:space="preserve"> </w:t>
      </w:r>
      <w:r w:rsidRPr="008D2C8A">
        <w:rPr>
          <w:rFonts w:cs="Calibri"/>
        </w:rPr>
        <w:t xml:space="preserve">nie może być dłuższy niż </w:t>
      </w:r>
      <w:r w:rsidR="00E85F1D" w:rsidRPr="008D2C8A">
        <w:rPr>
          <w:rFonts w:cs="Calibri"/>
        </w:rPr>
        <w:t>84</w:t>
      </w:r>
      <w:r w:rsidR="006D5C4B" w:rsidRPr="008D2C8A">
        <w:rPr>
          <w:rFonts w:cs="Calibri"/>
        </w:rPr>
        <w:t xml:space="preserve"> </w:t>
      </w:r>
      <w:r w:rsidR="00E85F1D" w:rsidRPr="008D2C8A">
        <w:rPr>
          <w:rFonts w:cs="Calibri"/>
        </w:rPr>
        <w:t>miesiące</w:t>
      </w:r>
      <w:r w:rsidR="00AE7DAF" w:rsidRPr="008D2C8A">
        <w:rPr>
          <w:rFonts w:cs="Calibri"/>
        </w:rPr>
        <w:t xml:space="preserve"> od</w:t>
      </w:r>
      <w:r w:rsidR="00AD1A5D" w:rsidRPr="008D2C8A">
        <w:rPr>
          <w:rFonts w:cs="Calibri"/>
        </w:rPr>
        <w:t> </w:t>
      </w:r>
      <w:r w:rsidR="00AE7DAF" w:rsidRPr="008D2C8A">
        <w:rPr>
          <w:rFonts w:cs="Calibri"/>
        </w:rPr>
        <w:t>momentu jej uruchomienia</w:t>
      </w:r>
      <w:r w:rsidR="00854DE4" w:rsidRPr="008D2C8A">
        <w:rPr>
          <w:rFonts w:cs="Calibri"/>
        </w:rPr>
        <w:t xml:space="preserve">, tj. wypłaty jakiejkolwiek kwoty </w:t>
      </w:r>
      <w:r w:rsidR="00EE5106" w:rsidRPr="008D2C8A">
        <w:rPr>
          <w:rFonts w:cs="Calibri"/>
        </w:rPr>
        <w:t>Pożyczki</w:t>
      </w:r>
      <w:r w:rsidRPr="008D2C8A">
        <w:rPr>
          <w:rFonts w:cs="Calibri"/>
        </w:rPr>
        <w:t>.</w:t>
      </w:r>
      <w:r w:rsidR="00C70C76" w:rsidRPr="008D2C8A">
        <w:rPr>
          <w:rFonts w:cs="Calibri"/>
        </w:rPr>
        <w:t xml:space="preserve"> </w:t>
      </w:r>
    </w:p>
    <w:p w14:paraId="63752709" w14:textId="07A74EA3" w:rsidR="00CC1E53" w:rsidRPr="008D2C8A" w:rsidRDefault="00CC1E53" w:rsidP="0044720A">
      <w:pPr>
        <w:pStyle w:val="Akapitzlist"/>
        <w:widowControl w:val="0"/>
        <w:numPr>
          <w:ilvl w:val="0"/>
          <w:numId w:val="19"/>
        </w:numPr>
        <w:suppressAutoHyphens/>
        <w:spacing w:before="120" w:after="120"/>
        <w:ind w:left="426" w:hanging="426"/>
        <w:contextualSpacing w:val="0"/>
        <w:jc w:val="both"/>
        <w:rPr>
          <w:rFonts w:cs="Calibri"/>
        </w:rPr>
      </w:pPr>
      <w:r w:rsidRPr="008D2C8A">
        <w:rPr>
          <w:rFonts w:cs="Calibri"/>
        </w:rPr>
        <w:t>Maksymalna karencja w spłacie</w:t>
      </w:r>
      <w:r w:rsidR="001A127E" w:rsidRPr="008D2C8A">
        <w:rPr>
          <w:rFonts w:cs="Calibri"/>
        </w:rPr>
        <w:t xml:space="preserve"> kapitału</w:t>
      </w:r>
      <w:r w:rsidRPr="008D2C8A">
        <w:rPr>
          <w:rFonts w:cs="Calibri"/>
        </w:rPr>
        <w:t xml:space="preserve"> </w:t>
      </w:r>
      <w:r w:rsidR="00EE5106" w:rsidRPr="008D2C8A">
        <w:rPr>
          <w:rFonts w:cs="Calibri"/>
        </w:rPr>
        <w:t>Pożyczki</w:t>
      </w:r>
      <w:r w:rsidRPr="008D2C8A">
        <w:rPr>
          <w:rFonts w:cs="Calibri"/>
        </w:rPr>
        <w:t xml:space="preserve"> wynosi </w:t>
      </w:r>
      <w:r w:rsidR="006D5C4B" w:rsidRPr="008D2C8A">
        <w:rPr>
          <w:rFonts w:cs="Calibri"/>
        </w:rPr>
        <w:t>12</w:t>
      </w:r>
      <w:r w:rsidRPr="008D2C8A">
        <w:rPr>
          <w:rFonts w:cs="Calibri"/>
        </w:rPr>
        <w:t xml:space="preserve"> miesięcy</w:t>
      </w:r>
      <w:r w:rsidR="006856FE" w:rsidRPr="008D2C8A">
        <w:rPr>
          <w:rFonts w:cs="Calibri"/>
        </w:rPr>
        <w:t xml:space="preserve"> od dnia jej uruchomienia</w:t>
      </w:r>
      <w:r w:rsidRPr="008D2C8A">
        <w:rPr>
          <w:rFonts w:cs="Calibri"/>
        </w:rPr>
        <w:t xml:space="preserve">, przy czym karencja nie wydłuża okresu spłaty </w:t>
      </w:r>
      <w:r w:rsidR="00EE5106" w:rsidRPr="008D2C8A">
        <w:rPr>
          <w:rFonts w:cs="Calibri"/>
        </w:rPr>
        <w:t>Pożyczki</w:t>
      </w:r>
      <w:r w:rsidRPr="008D2C8A">
        <w:rPr>
          <w:rFonts w:cs="Calibri"/>
        </w:rPr>
        <w:t>.</w:t>
      </w:r>
    </w:p>
    <w:p w14:paraId="765B8F99" w14:textId="1D59DF9F" w:rsidR="006D20F8" w:rsidRPr="008D2C8A" w:rsidRDefault="006D20F8" w:rsidP="0044720A">
      <w:pPr>
        <w:pStyle w:val="Akapitzlist"/>
        <w:widowControl w:val="0"/>
        <w:numPr>
          <w:ilvl w:val="0"/>
          <w:numId w:val="19"/>
        </w:numPr>
        <w:suppressAutoHyphens/>
        <w:spacing w:before="120" w:after="120"/>
        <w:ind w:left="426" w:hanging="426"/>
        <w:contextualSpacing w:val="0"/>
        <w:jc w:val="both"/>
        <w:rPr>
          <w:rFonts w:cs="Calibri"/>
        </w:rPr>
      </w:pPr>
      <w:r w:rsidRPr="008D2C8A">
        <w:rPr>
          <w:rFonts w:cs="Calibri"/>
        </w:rPr>
        <w:t xml:space="preserve">Przedsięwzięcie finansowane </w:t>
      </w:r>
      <w:r w:rsidR="00947ED0" w:rsidRPr="008D2C8A">
        <w:rPr>
          <w:rFonts w:cs="Calibri"/>
        </w:rPr>
        <w:t>Pożyczką</w:t>
      </w:r>
      <w:r w:rsidRPr="008D2C8A">
        <w:rPr>
          <w:rFonts w:cs="Calibri"/>
        </w:rPr>
        <w:t xml:space="preserve"> musi być zlokalizowane na terenie Polski Wschodniej</w:t>
      </w:r>
      <w:r w:rsidR="00A3072B" w:rsidRPr="008D2C8A">
        <w:rPr>
          <w:rStyle w:val="Odwoanieprzypisudolnego"/>
          <w:rFonts w:cs="Calibri"/>
        </w:rPr>
        <w:footnoteReference w:id="2"/>
      </w:r>
      <w:r w:rsidR="00543770" w:rsidRPr="008D2C8A">
        <w:rPr>
          <w:rFonts w:cs="Calibri"/>
        </w:rPr>
        <w:t>.</w:t>
      </w:r>
    </w:p>
    <w:p w14:paraId="1332E542" w14:textId="4F9A5FE5" w:rsidR="009861FA" w:rsidRPr="008D2C8A" w:rsidRDefault="009861FA" w:rsidP="0044720A">
      <w:pPr>
        <w:pStyle w:val="Akapitzlist"/>
        <w:widowControl w:val="0"/>
        <w:numPr>
          <w:ilvl w:val="0"/>
          <w:numId w:val="19"/>
        </w:numPr>
        <w:suppressAutoHyphens/>
        <w:spacing w:before="120" w:after="120"/>
        <w:ind w:left="426" w:hanging="426"/>
        <w:contextualSpacing w:val="0"/>
        <w:jc w:val="both"/>
        <w:rPr>
          <w:rFonts w:cs="Calibri"/>
        </w:rPr>
      </w:pPr>
      <w:r w:rsidRPr="008D2C8A">
        <w:rPr>
          <w:rFonts w:cs="Calibri"/>
        </w:rPr>
        <w:t xml:space="preserve">Wysokość oraz terminy spłat rat kapitałowo-odsetkowych Pożyczki mogą uwzględniać sezonowy charakter działalności w branży turystycznej i </w:t>
      </w:r>
      <w:r w:rsidR="00947ED0" w:rsidRPr="008D2C8A">
        <w:rPr>
          <w:rFonts w:cs="Calibri"/>
        </w:rPr>
        <w:t>pokrewnych</w:t>
      </w:r>
      <w:r w:rsidRPr="008D2C8A">
        <w:rPr>
          <w:rFonts w:cs="Calibri"/>
        </w:rPr>
        <w:t xml:space="preserve">, co odzwierciedlone jest w przychodach </w:t>
      </w:r>
      <w:r w:rsidR="00B470B1" w:rsidRPr="008D2C8A">
        <w:rPr>
          <w:rFonts w:cs="Calibri"/>
        </w:rPr>
        <w:t>Pożyczkobiorcy</w:t>
      </w:r>
      <w:r w:rsidRPr="008D2C8A">
        <w:rPr>
          <w:rFonts w:cs="Calibri"/>
        </w:rPr>
        <w:t xml:space="preserve"> i możliwości obsługi zadłużenia z tytułu Pożyczki.</w:t>
      </w:r>
    </w:p>
    <w:p w14:paraId="205D16D4" w14:textId="26E82AE1" w:rsidR="006E5B20" w:rsidRPr="008D2C8A" w:rsidRDefault="006E5B20" w:rsidP="0044720A">
      <w:pPr>
        <w:pStyle w:val="Akapitzlist"/>
        <w:widowControl w:val="0"/>
        <w:numPr>
          <w:ilvl w:val="0"/>
          <w:numId w:val="19"/>
        </w:numPr>
        <w:suppressAutoHyphens/>
        <w:spacing w:before="120" w:after="120"/>
        <w:ind w:left="426" w:hanging="426"/>
        <w:contextualSpacing w:val="0"/>
        <w:jc w:val="both"/>
        <w:rPr>
          <w:rFonts w:cs="Calibri"/>
        </w:rPr>
      </w:pPr>
      <w:r w:rsidRPr="008D2C8A">
        <w:rPr>
          <w:rFonts w:cs="Calibri"/>
        </w:rPr>
        <w:t>Pożyczkobiorcy prowadzą działalność gospodarczą w branży turystycznej i pokrewnych</w:t>
      </w:r>
      <w:r w:rsidR="001A4985" w:rsidRPr="008D2C8A">
        <w:rPr>
          <w:rStyle w:val="Odwoanieprzypisudolnego"/>
          <w:rFonts w:cs="Calibri"/>
        </w:rPr>
        <w:footnoteReference w:id="3"/>
      </w:r>
      <w:r w:rsidRPr="008D2C8A">
        <w:rPr>
          <w:rFonts w:cs="Calibri"/>
        </w:rPr>
        <w:t>, w szczególności w ramach następujących działów i grup PKD</w:t>
      </w:r>
      <w:r w:rsidRPr="008D2C8A">
        <w:rPr>
          <w:rFonts w:cs="Calibri"/>
          <w:vertAlign w:val="superscript"/>
        </w:rPr>
        <w:footnoteReference w:id="4"/>
      </w:r>
      <w:r w:rsidRPr="008D2C8A">
        <w:rPr>
          <w:rFonts w:cs="Calibri"/>
        </w:rPr>
        <w:t>:</w:t>
      </w:r>
    </w:p>
    <w:p w14:paraId="2E41966A" w14:textId="77777777" w:rsidR="006E5B20" w:rsidRPr="008D2C8A" w:rsidRDefault="006E5B20" w:rsidP="0044720A">
      <w:pPr>
        <w:pStyle w:val="Akapitzlist"/>
        <w:widowControl w:val="0"/>
        <w:numPr>
          <w:ilvl w:val="0"/>
          <w:numId w:val="14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55. Zakwaterowanie</w:t>
      </w:r>
    </w:p>
    <w:p w14:paraId="25341A5B" w14:textId="77777777" w:rsidR="006E5B20" w:rsidRPr="008D2C8A" w:rsidRDefault="006E5B20" w:rsidP="0044720A">
      <w:pPr>
        <w:pStyle w:val="Akapitzlist"/>
        <w:widowControl w:val="0"/>
        <w:numPr>
          <w:ilvl w:val="0"/>
          <w:numId w:val="14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56. Działalność usługowa związana z wyżywieniem</w:t>
      </w:r>
    </w:p>
    <w:p w14:paraId="5AE3D13A" w14:textId="77777777" w:rsidR="006E5B20" w:rsidRPr="008D2C8A" w:rsidRDefault="006E5B20" w:rsidP="0044720A">
      <w:pPr>
        <w:pStyle w:val="Akapitzlist"/>
        <w:widowControl w:val="0"/>
        <w:numPr>
          <w:ilvl w:val="0"/>
          <w:numId w:val="14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50.1 Transport morski i przybrzeżny pasażerski</w:t>
      </w:r>
    </w:p>
    <w:p w14:paraId="70DE7270" w14:textId="77777777" w:rsidR="006E5B20" w:rsidRPr="008D2C8A" w:rsidRDefault="006E5B20" w:rsidP="0044720A">
      <w:pPr>
        <w:pStyle w:val="Akapitzlist"/>
        <w:widowControl w:val="0"/>
        <w:numPr>
          <w:ilvl w:val="0"/>
          <w:numId w:val="14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50.3 Transport wodny śródlądowy pasażerski</w:t>
      </w:r>
    </w:p>
    <w:p w14:paraId="20D920C2" w14:textId="77777777" w:rsidR="006E5B20" w:rsidRPr="008D2C8A" w:rsidRDefault="006E5B20" w:rsidP="0044720A">
      <w:pPr>
        <w:pStyle w:val="Akapitzlist"/>
        <w:widowControl w:val="0"/>
        <w:numPr>
          <w:ilvl w:val="0"/>
          <w:numId w:val="14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51.1 Transport lotniczy pasażerski</w:t>
      </w:r>
    </w:p>
    <w:p w14:paraId="44CA85DF" w14:textId="77777777" w:rsidR="006E5B20" w:rsidRPr="008D2C8A" w:rsidRDefault="006E5B20" w:rsidP="0044720A">
      <w:pPr>
        <w:pStyle w:val="Akapitzlist"/>
        <w:widowControl w:val="0"/>
        <w:numPr>
          <w:ilvl w:val="0"/>
          <w:numId w:val="14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77.11 Wynajem i dzierżawa samochodów osobowych i furgonetek</w:t>
      </w:r>
    </w:p>
    <w:p w14:paraId="287E9C39" w14:textId="77777777" w:rsidR="006E5B20" w:rsidRPr="008D2C8A" w:rsidRDefault="006E5B20" w:rsidP="0044720A">
      <w:pPr>
        <w:pStyle w:val="Akapitzlist"/>
        <w:widowControl w:val="0"/>
        <w:numPr>
          <w:ilvl w:val="0"/>
          <w:numId w:val="14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lastRenderedPageBreak/>
        <w:t>79 Działalność związana z turystyką</w:t>
      </w:r>
    </w:p>
    <w:p w14:paraId="1C3BF2E1" w14:textId="77777777" w:rsidR="006E5B20" w:rsidRPr="008D2C8A" w:rsidRDefault="006E5B20" w:rsidP="0044720A">
      <w:pPr>
        <w:pStyle w:val="Akapitzlist"/>
        <w:widowControl w:val="0"/>
        <w:numPr>
          <w:ilvl w:val="0"/>
          <w:numId w:val="14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79.1 Działalność agentów i pośredników turystycznych oraz organizatorów turystyki</w:t>
      </w:r>
    </w:p>
    <w:p w14:paraId="42E14FBF" w14:textId="77777777" w:rsidR="006E5B20" w:rsidRPr="008D2C8A" w:rsidRDefault="006E5B20" w:rsidP="0044720A">
      <w:pPr>
        <w:pStyle w:val="Akapitzlist"/>
        <w:widowControl w:val="0"/>
        <w:numPr>
          <w:ilvl w:val="0"/>
          <w:numId w:val="14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79.9 Pozostała działalność usługowa w zakresie rezerwacji i działalności z nią związane</w:t>
      </w:r>
    </w:p>
    <w:p w14:paraId="58BD1A18" w14:textId="77777777" w:rsidR="006E5B20" w:rsidRPr="008D2C8A" w:rsidRDefault="006E5B20" w:rsidP="0044720A">
      <w:pPr>
        <w:pStyle w:val="Akapitzlist"/>
        <w:widowControl w:val="0"/>
        <w:numPr>
          <w:ilvl w:val="0"/>
          <w:numId w:val="14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 xml:space="preserve">91 Działalność bibliotek, archiwów, muzeów oraz pozostała działalność związana z kulturą </w:t>
      </w:r>
    </w:p>
    <w:p w14:paraId="699EDE09" w14:textId="77777777" w:rsidR="006E5B20" w:rsidRPr="008D2C8A" w:rsidRDefault="006E5B20" w:rsidP="0044720A">
      <w:pPr>
        <w:pStyle w:val="Akapitzlist"/>
        <w:widowControl w:val="0"/>
        <w:numPr>
          <w:ilvl w:val="0"/>
          <w:numId w:val="14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 xml:space="preserve">93 Działalność sportowa, rozrywkowa i rekreacyjna </w:t>
      </w:r>
    </w:p>
    <w:p w14:paraId="0EB8FEE0" w14:textId="77777777" w:rsidR="006E5B20" w:rsidRPr="008D2C8A" w:rsidRDefault="006E5B20" w:rsidP="0044720A">
      <w:pPr>
        <w:pStyle w:val="Akapitzlist"/>
        <w:widowControl w:val="0"/>
        <w:numPr>
          <w:ilvl w:val="0"/>
          <w:numId w:val="14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68 Obsługa rynku nieruchomości</w:t>
      </w:r>
    </w:p>
    <w:p w14:paraId="6A1697A9" w14:textId="77777777" w:rsidR="006E5B20" w:rsidRPr="008D2C8A" w:rsidRDefault="006E5B20" w:rsidP="0044720A">
      <w:pPr>
        <w:pStyle w:val="Akapitzlist"/>
        <w:widowControl w:val="0"/>
        <w:numPr>
          <w:ilvl w:val="0"/>
          <w:numId w:val="14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52.23 Działalność usługowa wspomagająca transport lotniczy</w:t>
      </w:r>
    </w:p>
    <w:p w14:paraId="7FC528C0" w14:textId="77777777" w:rsidR="006E5B20" w:rsidRPr="008D2C8A" w:rsidRDefault="006E5B20" w:rsidP="0044720A">
      <w:pPr>
        <w:pStyle w:val="Akapitzlist"/>
        <w:widowControl w:val="0"/>
        <w:numPr>
          <w:ilvl w:val="0"/>
          <w:numId w:val="14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86 Opieka zdrowotna</w:t>
      </w:r>
    </w:p>
    <w:p w14:paraId="49B93F57" w14:textId="77777777" w:rsidR="006E5B20" w:rsidRPr="008D2C8A" w:rsidRDefault="006E5B20" w:rsidP="0044720A">
      <w:pPr>
        <w:pStyle w:val="Akapitzlist"/>
        <w:widowControl w:val="0"/>
        <w:numPr>
          <w:ilvl w:val="0"/>
          <w:numId w:val="14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82.3 Działalność związana z organizacją targów, wystaw i kongresów</w:t>
      </w:r>
    </w:p>
    <w:p w14:paraId="62BFD487" w14:textId="77777777" w:rsidR="006E5B20" w:rsidRPr="008D2C8A" w:rsidRDefault="006E5B20" w:rsidP="0044720A">
      <w:pPr>
        <w:pStyle w:val="Akapitzlist"/>
        <w:widowControl w:val="0"/>
        <w:numPr>
          <w:ilvl w:val="0"/>
          <w:numId w:val="14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47 Handel detaliczny (handel detaliczny artykułami żywnościowymi, paliwami, wyrobami alkoholowymi, tytoniem oraz odzieżą i obuwiem)</w:t>
      </w:r>
    </w:p>
    <w:p w14:paraId="74493CC5" w14:textId="77777777" w:rsidR="006E5B20" w:rsidRPr="008D2C8A" w:rsidRDefault="006E5B20" w:rsidP="0044720A">
      <w:pPr>
        <w:pStyle w:val="Akapitzlist"/>
        <w:widowControl w:val="0"/>
        <w:numPr>
          <w:ilvl w:val="0"/>
          <w:numId w:val="14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77.21 Wypożyczanie i dzierżawa sprzętu rekreacyjnego i sportowego;</w:t>
      </w:r>
    </w:p>
    <w:p w14:paraId="38AD49D4" w14:textId="77777777" w:rsidR="006E5B20" w:rsidRPr="008D2C8A" w:rsidRDefault="006E5B20" w:rsidP="0044720A">
      <w:pPr>
        <w:pStyle w:val="Akapitzlist"/>
        <w:widowControl w:val="0"/>
        <w:numPr>
          <w:ilvl w:val="0"/>
          <w:numId w:val="14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96.02 Fryzjerstwo i pozostałe zabiegi kosmetyczne;</w:t>
      </w:r>
    </w:p>
    <w:p w14:paraId="6AF61205" w14:textId="77777777" w:rsidR="006E5B20" w:rsidRPr="008D2C8A" w:rsidRDefault="006E5B20" w:rsidP="0044720A">
      <w:pPr>
        <w:pStyle w:val="Akapitzlist"/>
        <w:widowControl w:val="0"/>
        <w:numPr>
          <w:ilvl w:val="0"/>
          <w:numId w:val="14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96.04 Działalność usługowa związana z poprawą kondycji fizycznej;</w:t>
      </w:r>
    </w:p>
    <w:p w14:paraId="7D1E3902" w14:textId="77777777" w:rsidR="006E5B20" w:rsidRPr="008D2C8A" w:rsidRDefault="006E5B20" w:rsidP="0044720A">
      <w:pPr>
        <w:pStyle w:val="Akapitzlist"/>
        <w:widowControl w:val="0"/>
        <w:numPr>
          <w:ilvl w:val="0"/>
          <w:numId w:val="14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03.12 Rybołówstwo w wodach śródlądowych;</w:t>
      </w:r>
    </w:p>
    <w:p w14:paraId="0B7DF0D9" w14:textId="77777777" w:rsidR="006E5B20" w:rsidRPr="008D2C8A" w:rsidRDefault="006E5B20" w:rsidP="0044720A">
      <w:pPr>
        <w:pStyle w:val="Akapitzlist"/>
        <w:widowControl w:val="0"/>
        <w:numPr>
          <w:ilvl w:val="0"/>
          <w:numId w:val="14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10.52 Produkcja lodów;</w:t>
      </w:r>
    </w:p>
    <w:p w14:paraId="798D76B1" w14:textId="77777777" w:rsidR="006E5B20" w:rsidRPr="008D2C8A" w:rsidRDefault="006E5B20" w:rsidP="0044720A">
      <w:pPr>
        <w:pStyle w:val="Akapitzlist"/>
        <w:widowControl w:val="0"/>
        <w:numPr>
          <w:ilvl w:val="0"/>
          <w:numId w:val="14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10.86 Produkcja artykułów spożywczych homogenizowanych i żywności dietetycznej;</w:t>
      </w:r>
    </w:p>
    <w:p w14:paraId="430F578A" w14:textId="77777777" w:rsidR="006E5B20" w:rsidRPr="008D2C8A" w:rsidRDefault="006E5B20" w:rsidP="0044720A">
      <w:pPr>
        <w:pStyle w:val="Akapitzlist"/>
        <w:widowControl w:val="0"/>
        <w:numPr>
          <w:ilvl w:val="0"/>
          <w:numId w:val="14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16.29 Produkcja pozostałych wyrobów z drewna; produkcja wyrobów z korka, słomy i materiałów używanych do wyplatania;</w:t>
      </w:r>
    </w:p>
    <w:p w14:paraId="3E9E310F" w14:textId="77777777" w:rsidR="006E5B20" w:rsidRPr="008D2C8A" w:rsidRDefault="006E5B20" w:rsidP="0044720A">
      <w:pPr>
        <w:pStyle w:val="Akapitzlist"/>
        <w:widowControl w:val="0"/>
        <w:numPr>
          <w:ilvl w:val="0"/>
          <w:numId w:val="14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20.42 Produkcja wyrobów kosmetycznych i toaletowych;</w:t>
      </w:r>
    </w:p>
    <w:p w14:paraId="55CCE3D1" w14:textId="77777777" w:rsidR="006E5B20" w:rsidRPr="008D2C8A" w:rsidRDefault="006E5B20" w:rsidP="0044720A">
      <w:pPr>
        <w:pStyle w:val="Akapitzlist"/>
        <w:widowControl w:val="0"/>
        <w:numPr>
          <w:ilvl w:val="0"/>
          <w:numId w:val="14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32 Pozostała produkcja wyrobów;</w:t>
      </w:r>
    </w:p>
    <w:p w14:paraId="304C9AD3" w14:textId="77777777" w:rsidR="006E5B20" w:rsidRPr="008D2C8A" w:rsidRDefault="006E5B20" w:rsidP="0044720A">
      <w:pPr>
        <w:pStyle w:val="Akapitzlist"/>
        <w:widowControl w:val="0"/>
        <w:numPr>
          <w:ilvl w:val="0"/>
          <w:numId w:val="14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74.10 Działalność w zakresie specjalistycznego projektowania</w:t>
      </w:r>
    </w:p>
    <w:p w14:paraId="3AF314EB" w14:textId="439F3994" w:rsidR="00027378" w:rsidRPr="008D2C8A" w:rsidRDefault="00333757" w:rsidP="0044720A">
      <w:pPr>
        <w:pStyle w:val="Akapitzlist"/>
        <w:widowControl w:val="0"/>
        <w:numPr>
          <w:ilvl w:val="0"/>
          <w:numId w:val="4"/>
        </w:numPr>
        <w:suppressAutoHyphens/>
        <w:spacing w:before="120" w:after="120"/>
        <w:ind w:left="425" w:hanging="425"/>
        <w:contextualSpacing w:val="0"/>
        <w:jc w:val="both"/>
        <w:rPr>
          <w:rFonts w:cs="Calibri"/>
          <w:b/>
        </w:rPr>
      </w:pPr>
      <w:r w:rsidRPr="008D2C8A">
        <w:rPr>
          <w:rFonts w:cs="Calibri"/>
          <w:b/>
        </w:rPr>
        <w:t xml:space="preserve">Typy </w:t>
      </w:r>
      <w:r w:rsidR="00BA5F2A" w:rsidRPr="008D2C8A">
        <w:rPr>
          <w:rFonts w:cs="Calibri"/>
          <w:b/>
        </w:rPr>
        <w:t>i</w:t>
      </w:r>
      <w:r w:rsidR="00027378" w:rsidRPr="008D2C8A">
        <w:rPr>
          <w:rFonts w:cs="Calibri"/>
          <w:b/>
        </w:rPr>
        <w:t xml:space="preserve">nwestycji </w:t>
      </w:r>
      <w:r w:rsidRPr="008D2C8A">
        <w:rPr>
          <w:rFonts w:cs="Calibri"/>
          <w:b/>
        </w:rPr>
        <w:t xml:space="preserve">możliwe do sfinansowania </w:t>
      </w:r>
    </w:p>
    <w:p w14:paraId="5D817CD0" w14:textId="7639C08A" w:rsidR="006F3107" w:rsidRPr="008D2C8A" w:rsidRDefault="006F3107" w:rsidP="0044720A">
      <w:pPr>
        <w:pStyle w:val="Akapitzlist"/>
        <w:widowControl w:val="0"/>
        <w:numPr>
          <w:ilvl w:val="0"/>
          <w:numId w:val="10"/>
        </w:numPr>
        <w:suppressAutoHyphens/>
        <w:spacing w:before="120" w:after="120"/>
        <w:ind w:left="426"/>
        <w:contextualSpacing w:val="0"/>
        <w:jc w:val="both"/>
        <w:rPr>
          <w:rFonts w:cs="Calibri"/>
        </w:rPr>
      </w:pPr>
      <w:r w:rsidRPr="008D2C8A">
        <w:rPr>
          <w:rFonts w:eastAsia="Times New Roman" w:cs="Calibri"/>
          <w:iCs/>
          <w:lang w:eastAsia="pl-PL"/>
        </w:rPr>
        <w:t>Pożyczk</w:t>
      </w:r>
      <w:r w:rsidR="00B470B1" w:rsidRPr="008D2C8A">
        <w:rPr>
          <w:rFonts w:eastAsia="Times New Roman" w:cs="Calibri"/>
          <w:iCs/>
          <w:lang w:eastAsia="pl-PL"/>
        </w:rPr>
        <w:t>a</w:t>
      </w:r>
      <w:r w:rsidRPr="008D2C8A">
        <w:rPr>
          <w:rFonts w:eastAsia="Times New Roman" w:cs="Calibri"/>
          <w:iCs/>
          <w:lang w:eastAsia="pl-PL"/>
        </w:rPr>
        <w:t xml:space="preserve"> </w:t>
      </w:r>
      <w:r w:rsidR="00B470B1" w:rsidRPr="008D2C8A">
        <w:rPr>
          <w:rFonts w:eastAsia="Times New Roman" w:cs="Calibri"/>
          <w:iCs/>
          <w:lang w:eastAsia="pl-PL"/>
        </w:rPr>
        <w:t xml:space="preserve">jest przeznaczona </w:t>
      </w:r>
      <w:r w:rsidR="002644B1" w:rsidRPr="008D2C8A">
        <w:rPr>
          <w:rFonts w:eastAsia="Times New Roman" w:cs="Calibri"/>
          <w:iCs/>
          <w:lang w:eastAsia="pl-PL"/>
        </w:rPr>
        <w:t xml:space="preserve">na </w:t>
      </w:r>
      <w:r w:rsidR="00B470B1" w:rsidRPr="008D2C8A">
        <w:rPr>
          <w:rFonts w:eastAsia="Times New Roman" w:cs="Calibri"/>
          <w:iCs/>
          <w:lang w:eastAsia="pl-PL"/>
        </w:rPr>
        <w:t>i</w:t>
      </w:r>
      <w:r w:rsidRPr="008D2C8A">
        <w:rPr>
          <w:rFonts w:eastAsia="Times New Roman" w:cs="Calibri"/>
          <w:iCs/>
          <w:lang w:eastAsia="pl-PL"/>
        </w:rPr>
        <w:t>nwestycj</w:t>
      </w:r>
      <w:r w:rsidR="00B470B1" w:rsidRPr="008D2C8A">
        <w:rPr>
          <w:rFonts w:eastAsia="Times New Roman" w:cs="Calibri"/>
          <w:iCs/>
          <w:lang w:eastAsia="pl-PL"/>
        </w:rPr>
        <w:t>ę</w:t>
      </w:r>
      <w:r w:rsidRPr="008D2C8A">
        <w:rPr>
          <w:rFonts w:eastAsia="Times New Roman" w:cs="Calibri"/>
          <w:iCs/>
          <w:lang w:eastAsia="pl-PL"/>
        </w:rPr>
        <w:t xml:space="preserve"> </w:t>
      </w:r>
      <w:r w:rsidR="002644B1" w:rsidRPr="008D2C8A">
        <w:rPr>
          <w:rFonts w:eastAsia="Times New Roman" w:cs="Calibri"/>
          <w:iCs/>
          <w:lang w:eastAsia="pl-PL"/>
        </w:rPr>
        <w:t>polegając</w:t>
      </w:r>
      <w:r w:rsidR="00B470B1" w:rsidRPr="008D2C8A">
        <w:rPr>
          <w:rFonts w:eastAsia="Times New Roman" w:cs="Calibri"/>
          <w:iCs/>
          <w:lang w:eastAsia="pl-PL"/>
        </w:rPr>
        <w:t>ą</w:t>
      </w:r>
      <w:r w:rsidR="002644B1" w:rsidRPr="008D2C8A">
        <w:rPr>
          <w:rFonts w:eastAsia="Times New Roman" w:cs="Calibri"/>
          <w:iCs/>
          <w:lang w:eastAsia="pl-PL"/>
        </w:rPr>
        <w:t xml:space="preserve"> na</w:t>
      </w:r>
      <w:r w:rsidR="00947ED0" w:rsidRPr="008D2C8A">
        <w:rPr>
          <w:rFonts w:eastAsia="Times New Roman" w:cs="Calibri"/>
          <w:iCs/>
          <w:lang w:eastAsia="pl-PL"/>
        </w:rPr>
        <w:t xml:space="preserve"> </w:t>
      </w:r>
      <w:r w:rsidR="00FE60B9" w:rsidRPr="008D2C8A">
        <w:rPr>
          <w:rFonts w:eastAsia="Times New Roman" w:cs="Calibri"/>
          <w:iCs/>
          <w:lang w:eastAsia="pl-PL"/>
        </w:rPr>
        <w:t>wdr</w:t>
      </w:r>
      <w:r w:rsidR="00B470B1" w:rsidRPr="008D2C8A">
        <w:rPr>
          <w:rFonts w:eastAsia="Times New Roman" w:cs="Calibri"/>
          <w:iCs/>
          <w:lang w:eastAsia="pl-PL"/>
        </w:rPr>
        <w:t>o</w:t>
      </w:r>
      <w:r w:rsidR="00FE60B9" w:rsidRPr="008D2C8A">
        <w:rPr>
          <w:rFonts w:eastAsia="Times New Roman" w:cs="Calibri"/>
          <w:iCs/>
          <w:lang w:eastAsia="pl-PL"/>
        </w:rPr>
        <w:t>ż</w:t>
      </w:r>
      <w:r w:rsidR="00B470B1" w:rsidRPr="008D2C8A">
        <w:rPr>
          <w:rFonts w:eastAsia="Times New Roman" w:cs="Calibri"/>
          <w:iCs/>
          <w:lang w:eastAsia="pl-PL"/>
        </w:rPr>
        <w:t>e</w:t>
      </w:r>
      <w:r w:rsidR="00FE60B9" w:rsidRPr="008D2C8A">
        <w:rPr>
          <w:rFonts w:eastAsia="Times New Roman" w:cs="Calibri"/>
          <w:iCs/>
          <w:lang w:eastAsia="pl-PL"/>
        </w:rPr>
        <w:t>ni</w:t>
      </w:r>
      <w:r w:rsidR="002644B1" w:rsidRPr="008D2C8A">
        <w:rPr>
          <w:rFonts w:eastAsia="Times New Roman" w:cs="Calibri"/>
          <w:iCs/>
          <w:lang w:eastAsia="pl-PL"/>
        </w:rPr>
        <w:t>u</w:t>
      </w:r>
      <w:r w:rsidR="00FE60B9" w:rsidRPr="008D2C8A">
        <w:rPr>
          <w:rFonts w:eastAsia="Times New Roman" w:cs="Calibri"/>
          <w:iCs/>
          <w:lang w:eastAsia="pl-PL"/>
        </w:rPr>
        <w:t xml:space="preserve"> </w:t>
      </w:r>
      <w:r w:rsidRPr="008D2C8A">
        <w:rPr>
          <w:rFonts w:cs="Calibri"/>
        </w:rPr>
        <w:t>innowacji produktowych, procesowych, marketingowych lub organizacyjnych</w:t>
      </w:r>
      <w:r w:rsidR="00947ED0" w:rsidRPr="008D2C8A">
        <w:rPr>
          <w:rFonts w:cs="Calibri"/>
        </w:rPr>
        <w:t>,</w:t>
      </w:r>
      <w:r w:rsidRPr="008D2C8A">
        <w:rPr>
          <w:rFonts w:cs="Calibri"/>
        </w:rPr>
        <w:t xml:space="preserve"> w tym m.in. na:</w:t>
      </w:r>
    </w:p>
    <w:p w14:paraId="4B9E1659" w14:textId="77777777" w:rsidR="006F3107" w:rsidRPr="008D2C8A" w:rsidRDefault="006F3107" w:rsidP="0044720A">
      <w:pPr>
        <w:pStyle w:val="Akapitzlist"/>
        <w:widowControl w:val="0"/>
        <w:numPr>
          <w:ilvl w:val="0"/>
          <w:numId w:val="11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rozbudowę przedsiębiorstwa prowadzącą do wprowadzenia na rynek nowych lub ulepszonych produktów lub usług,</w:t>
      </w:r>
    </w:p>
    <w:p w14:paraId="0ACC258F" w14:textId="7E536AFC" w:rsidR="006F3107" w:rsidRPr="008D2C8A" w:rsidRDefault="006F3107" w:rsidP="0044720A">
      <w:pPr>
        <w:pStyle w:val="Akapitzlist"/>
        <w:widowControl w:val="0"/>
        <w:numPr>
          <w:ilvl w:val="0"/>
          <w:numId w:val="11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dokonanie zasadniczych zmian w działalności, skutkujących wprowadzeniem na rynek nowych lub ulepszonych produktów lub usług,</w:t>
      </w:r>
    </w:p>
    <w:p w14:paraId="54C98E87" w14:textId="77777777" w:rsidR="006F3107" w:rsidRPr="008D2C8A" w:rsidRDefault="006F3107" w:rsidP="0044720A">
      <w:pPr>
        <w:pStyle w:val="Akapitzlist"/>
        <w:widowControl w:val="0"/>
        <w:numPr>
          <w:ilvl w:val="0"/>
          <w:numId w:val="11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inwestycje w nowe wyposażenie i sprzęt.</w:t>
      </w:r>
    </w:p>
    <w:p w14:paraId="536DB7FE" w14:textId="4F3CD9D7" w:rsidR="006F3107" w:rsidRPr="008D2C8A" w:rsidRDefault="006F3107" w:rsidP="0044720A">
      <w:pPr>
        <w:pStyle w:val="Akapitzlist"/>
        <w:widowControl w:val="0"/>
        <w:numPr>
          <w:ilvl w:val="0"/>
          <w:numId w:val="10"/>
        </w:numPr>
        <w:suppressAutoHyphens/>
        <w:spacing w:before="120" w:after="120"/>
        <w:ind w:left="426"/>
        <w:contextualSpacing w:val="0"/>
        <w:jc w:val="both"/>
        <w:rPr>
          <w:rFonts w:eastAsia="Times New Roman" w:cs="Calibri"/>
          <w:iCs/>
          <w:lang w:eastAsia="pl-PL"/>
        </w:rPr>
      </w:pPr>
      <w:r w:rsidRPr="008D2C8A">
        <w:rPr>
          <w:rFonts w:eastAsia="Times New Roman" w:cs="Calibri"/>
          <w:iCs/>
          <w:lang w:eastAsia="pl-PL"/>
        </w:rPr>
        <w:t>Inwestycj</w:t>
      </w:r>
      <w:r w:rsidR="00B470B1" w:rsidRPr="008D2C8A">
        <w:rPr>
          <w:rFonts w:eastAsia="Times New Roman" w:cs="Calibri"/>
          <w:iCs/>
          <w:lang w:eastAsia="pl-PL"/>
        </w:rPr>
        <w:t>a</w:t>
      </w:r>
      <w:r w:rsidRPr="008D2C8A">
        <w:rPr>
          <w:rFonts w:eastAsia="Times New Roman" w:cs="Calibri"/>
          <w:iCs/>
          <w:lang w:eastAsia="pl-PL"/>
        </w:rPr>
        <w:t xml:space="preserve"> mo</w:t>
      </w:r>
      <w:r w:rsidR="00B96886" w:rsidRPr="008D2C8A">
        <w:rPr>
          <w:rFonts w:eastAsia="Times New Roman" w:cs="Calibri"/>
          <w:iCs/>
          <w:lang w:eastAsia="pl-PL"/>
        </w:rPr>
        <w:t>że</w:t>
      </w:r>
      <w:r w:rsidRPr="008D2C8A">
        <w:rPr>
          <w:rFonts w:eastAsia="Times New Roman" w:cs="Calibri"/>
          <w:iCs/>
          <w:lang w:eastAsia="pl-PL"/>
        </w:rPr>
        <w:t xml:space="preserve"> dotyczyć m.in. następujących obszarów:</w:t>
      </w:r>
    </w:p>
    <w:p w14:paraId="33387B24" w14:textId="77777777" w:rsidR="006F3107" w:rsidRPr="008D2C8A" w:rsidRDefault="006F3107" w:rsidP="0044720A">
      <w:pPr>
        <w:pStyle w:val="Akapitzlist"/>
        <w:widowControl w:val="0"/>
        <w:numPr>
          <w:ilvl w:val="0"/>
          <w:numId w:val="12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obiekty noclegowe,</w:t>
      </w:r>
    </w:p>
    <w:p w14:paraId="18D8F530" w14:textId="77777777" w:rsidR="006F3107" w:rsidRPr="008D2C8A" w:rsidRDefault="006F3107" w:rsidP="0044720A">
      <w:pPr>
        <w:pStyle w:val="Akapitzlist"/>
        <w:widowControl w:val="0"/>
        <w:numPr>
          <w:ilvl w:val="0"/>
          <w:numId w:val="12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obiekty gastronomiczne,</w:t>
      </w:r>
    </w:p>
    <w:p w14:paraId="5642F57F" w14:textId="77777777" w:rsidR="006F3107" w:rsidRPr="008D2C8A" w:rsidRDefault="006F3107" w:rsidP="0044720A">
      <w:pPr>
        <w:pStyle w:val="Akapitzlist"/>
        <w:widowControl w:val="0"/>
        <w:numPr>
          <w:ilvl w:val="0"/>
          <w:numId w:val="12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lastRenderedPageBreak/>
        <w:t>infrastruktura sportowo-rekreacyjna,</w:t>
      </w:r>
    </w:p>
    <w:p w14:paraId="61D0F8C7" w14:textId="77777777" w:rsidR="006F3107" w:rsidRPr="008D2C8A" w:rsidRDefault="006F3107" w:rsidP="0044720A">
      <w:pPr>
        <w:pStyle w:val="Akapitzlist"/>
        <w:widowControl w:val="0"/>
        <w:numPr>
          <w:ilvl w:val="0"/>
          <w:numId w:val="12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infrastruktura turystyki zdrowotnej,</w:t>
      </w:r>
    </w:p>
    <w:p w14:paraId="28E4DCDC" w14:textId="77777777" w:rsidR="006F3107" w:rsidRPr="008D2C8A" w:rsidRDefault="006F3107" w:rsidP="0044720A">
      <w:pPr>
        <w:pStyle w:val="Akapitzlist"/>
        <w:widowControl w:val="0"/>
        <w:numPr>
          <w:ilvl w:val="0"/>
          <w:numId w:val="12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infrastruktura kultury i rozrywki,</w:t>
      </w:r>
    </w:p>
    <w:p w14:paraId="6EF9B358" w14:textId="77777777" w:rsidR="006F3107" w:rsidRPr="008D2C8A" w:rsidRDefault="006F3107" w:rsidP="0044720A">
      <w:pPr>
        <w:pStyle w:val="Akapitzlist"/>
        <w:widowControl w:val="0"/>
        <w:numPr>
          <w:ilvl w:val="0"/>
          <w:numId w:val="12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transport turystyczny,</w:t>
      </w:r>
    </w:p>
    <w:p w14:paraId="7C62257C" w14:textId="77777777" w:rsidR="006F3107" w:rsidRPr="008D2C8A" w:rsidRDefault="006F3107" w:rsidP="0044720A">
      <w:pPr>
        <w:pStyle w:val="Akapitzlist"/>
        <w:widowControl w:val="0"/>
        <w:numPr>
          <w:ilvl w:val="0"/>
          <w:numId w:val="12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organizacja turystyki i pośrednictwo turystyczne,</w:t>
      </w:r>
    </w:p>
    <w:p w14:paraId="5C450340" w14:textId="77777777" w:rsidR="006F3107" w:rsidRPr="008D2C8A" w:rsidRDefault="006F3107" w:rsidP="0044720A">
      <w:pPr>
        <w:pStyle w:val="Akapitzlist"/>
        <w:widowControl w:val="0"/>
        <w:numPr>
          <w:ilvl w:val="0"/>
          <w:numId w:val="12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ekologiczne produkty,</w:t>
      </w:r>
    </w:p>
    <w:p w14:paraId="5E9A9C2B" w14:textId="51F6CDB1" w:rsidR="006F3107" w:rsidRPr="008D2C8A" w:rsidRDefault="006F3107" w:rsidP="0044720A">
      <w:pPr>
        <w:pStyle w:val="Akapitzlist"/>
        <w:widowControl w:val="0"/>
        <w:numPr>
          <w:ilvl w:val="0"/>
          <w:numId w:val="12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 xml:space="preserve">produkty regionalne i tradycyjne, </w:t>
      </w:r>
      <w:r w:rsidR="00986143" w:rsidRPr="008D2C8A">
        <w:rPr>
          <w:rFonts w:cs="Calibri"/>
        </w:rPr>
        <w:t xml:space="preserve">w tym także </w:t>
      </w:r>
      <w:r w:rsidRPr="008D2C8A">
        <w:rPr>
          <w:rFonts w:cs="Calibri"/>
        </w:rPr>
        <w:t>wzornictwo przemysłowe,</w:t>
      </w:r>
    </w:p>
    <w:p w14:paraId="6C66095E" w14:textId="77777777" w:rsidR="006F3107" w:rsidRPr="008D2C8A" w:rsidRDefault="006F3107" w:rsidP="0044720A">
      <w:pPr>
        <w:pStyle w:val="Akapitzlist"/>
        <w:widowControl w:val="0"/>
        <w:numPr>
          <w:ilvl w:val="0"/>
          <w:numId w:val="12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przywracanie tradycyjnych zawodów – rękodzieło i rzemiosło,</w:t>
      </w:r>
    </w:p>
    <w:p w14:paraId="21823CA2" w14:textId="309BBA05" w:rsidR="006F3107" w:rsidRPr="008D2C8A" w:rsidRDefault="006F3107" w:rsidP="0044720A">
      <w:pPr>
        <w:pStyle w:val="Akapitzlist"/>
        <w:widowControl w:val="0"/>
        <w:numPr>
          <w:ilvl w:val="0"/>
          <w:numId w:val="12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 xml:space="preserve">inne inwestycje w </w:t>
      </w:r>
      <w:r w:rsidR="00A4238B" w:rsidRPr="008D2C8A">
        <w:rPr>
          <w:rFonts w:cs="Calibri"/>
        </w:rPr>
        <w:t>branżach pokrewnych</w:t>
      </w:r>
      <w:r w:rsidR="00371D27" w:rsidRPr="008D2C8A">
        <w:rPr>
          <w:rStyle w:val="Odwoanieprzypisudolnego"/>
          <w:rFonts w:cs="Calibri"/>
        </w:rPr>
        <w:footnoteReference w:id="5"/>
      </w:r>
      <w:r w:rsidRPr="008D2C8A">
        <w:rPr>
          <w:rFonts w:cs="Calibri"/>
        </w:rPr>
        <w:t xml:space="preserve"> polegające na poszerzeniu oferty, podniesieniu jakości usług świadczonych bezpośrednio dla turystów.</w:t>
      </w:r>
    </w:p>
    <w:p w14:paraId="3D8A6EB4" w14:textId="5F83AB3F" w:rsidR="00AF5159" w:rsidRPr="008D2C8A" w:rsidRDefault="00AF5159" w:rsidP="0044720A">
      <w:pPr>
        <w:pStyle w:val="Akapitzlist"/>
        <w:widowControl w:val="0"/>
        <w:numPr>
          <w:ilvl w:val="0"/>
          <w:numId w:val="10"/>
        </w:numPr>
        <w:suppressAutoHyphens/>
        <w:spacing w:before="120" w:after="120"/>
        <w:ind w:left="426"/>
        <w:contextualSpacing w:val="0"/>
        <w:jc w:val="both"/>
        <w:rPr>
          <w:rFonts w:eastAsia="Times New Roman" w:cs="Calibri"/>
          <w:iCs/>
          <w:lang w:eastAsia="pl-PL"/>
        </w:rPr>
      </w:pPr>
      <w:r w:rsidRPr="008D2C8A">
        <w:rPr>
          <w:rFonts w:eastAsia="Times New Roman" w:cs="Calibri"/>
          <w:iCs/>
          <w:lang w:eastAsia="pl-PL"/>
        </w:rPr>
        <w:t xml:space="preserve">Stosownie do charakteru </w:t>
      </w:r>
      <w:r w:rsidR="00B96886" w:rsidRPr="008D2C8A">
        <w:rPr>
          <w:rFonts w:eastAsia="Times New Roman" w:cs="Calibri"/>
          <w:iCs/>
          <w:lang w:eastAsia="pl-PL"/>
        </w:rPr>
        <w:t>inwestycji Pożyczkobiorca</w:t>
      </w:r>
      <w:r w:rsidR="00294326" w:rsidRPr="008D2C8A">
        <w:rPr>
          <w:rFonts w:eastAsia="Times New Roman" w:cs="Calibri"/>
          <w:iCs/>
          <w:lang w:eastAsia="pl-PL"/>
        </w:rPr>
        <w:t xml:space="preserve"> powin</w:t>
      </w:r>
      <w:r w:rsidR="00F52D59" w:rsidRPr="008D2C8A">
        <w:rPr>
          <w:rFonts w:eastAsia="Times New Roman" w:cs="Calibri"/>
          <w:iCs/>
          <w:lang w:eastAsia="pl-PL"/>
        </w:rPr>
        <w:t>ien</w:t>
      </w:r>
      <w:r w:rsidR="00294326" w:rsidRPr="008D2C8A">
        <w:rPr>
          <w:rFonts w:eastAsia="Times New Roman" w:cs="Calibri"/>
          <w:iCs/>
          <w:lang w:eastAsia="pl-PL"/>
        </w:rPr>
        <w:t xml:space="preserve"> uwzględnić wymogi ochrony środowiska i efektywnego gospodarowania zasobami. </w:t>
      </w:r>
      <w:r w:rsidR="00014548" w:rsidRPr="008D2C8A">
        <w:rPr>
          <w:rFonts w:eastAsia="Times New Roman" w:cs="Calibri"/>
          <w:iCs/>
          <w:lang w:eastAsia="pl-PL"/>
        </w:rPr>
        <w:t>W</w:t>
      </w:r>
      <w:r w:rsidR="00294326" w:rsidRPr="008D2C8A">
        <w:rPr>
          <w:rFonts w:eastAsia="Times New Roman" w:cs="Calibri"/>
          <w:iCs/>
          <w:lang w:eastAsia="pl-PL"/>
        </w:rPr>
        <w:t xml:space="preserve">sparcie </w:t>
      </w:r>
      <w:r w:rsidR="0088213A" w:rsidRPr="008D2C8A">
        <w:rPr>
          <w:rFonts w:eastAsia="Times New Roman" w:cs="Calibri"/>
          <w:iCs/>
          <w:lang w:eastAsia="pl-PL"/>
        </w:rPr>
        <w:t xml:space="preserve">może być udzielone jedynie, gdy </w:t>
      </w:r>
      <w:r w:rsidR="00B96886" w:rsidRPr="008D2C8A">
        <w:rPr>
          <w:rFonts w:eastAsia="Times New Roman" w:cs="Calibri"/>
          <w:iCs/>
          <w:lang w:eastAsia="pl-PL"/>
        </w:rPr>
        <w:t>i</w:t>
      </w:r>
      <w:r w:rsidR="0088213A" w:rsidRPr="008D2C8A">
        <w:rPr>
          <w:rFonts w:eastAsia="Times New Roman" w:cs="Calibri"/>
          <w:iCs/>
          <w:lang w:eastAsia="pl-PL"/>
        </w:rPr>
        <w:t>nwestycj</w:t>
      </w:r>
      <w:r w:rsidR="00B36FC5" w:rsidRPr="008D2C8A">
        <w:rPr>
          <w:rFonts w:eastAsia="Times New Roman" w:cs="Calibri"/>
          <w:iCs/>
          <w:lang w:eastAsia="pl-PL"/>
        </w:rPr>
        <w:t>a</w:t>
      </w:r>
      <w:r w:rsidR="0088213A" w:rsidRPr="008D2C8A">
        <w:rPr>
          <w:rFonts w:eastAsia="Times New Roman" w:cs="Calibri"/>
          <w:iCs/>
          <w:lang w:eastAsia="pl-PL"/>
        </w:rPr>
        <w:t xml:space="preserve"> nie prowadzi do degradacji lub znacznego pogorszenia stanu środowiska naturalnego. </w:t>
      </w:r>
      <w:r w:rsidR="00B96886" w:rsidRPr="008D2C8A">
        <w:rPr>
          <w:rFonts w:eastAsia="Times New Roman" w:cs="Calibri"/>
          <w:iCs/>
          <w:lang w:eastAsia="pl-PL"/>
        </w:rPr>
        <w:t>Pożyczkobiorca</w:t>
      </w:r>
      <w:r w:rsidR="0088213A" w:rsidRPr="008D2C8A">
        <w:rPr>
          <w:rFonts w:eastAsia="Times New Roman" w:cs="Calibri"/>
          <w:iCs/>
          <w:lang w:eastAsia="pl-PL"/>
        </w:rPr>
        <w:t xml:space="preserve"> zapewni, że stosownie do charakteru wspieran</w:t>
      </w:r>
      <w:r w:rsidR="00B36FC5" w:rsidRPr="008D2C8A">
        <w:rPr>
          <w:rFonts w:eastAsia="Times New Roman" w:cs="Calibri"/>
          <w:iCs/>
          <w:lang w:eastAsia="pl-PL"/>
        </w:rPr>
        <w:t>ej</w:t>
      </w:r>
      <w:r w:rsidR="0088213A" w:rsidRPr="008D2C8A">
        <w:rPr>
          <w:rFonts w:eastAsia="Times New Roman" w:cs="Calibri"/>
          <w:iCs/>
          <w:lang w:eastAsia="pl-PL"/>
        </w:rPr>
        <w:t xml:space="preserve"> </w:t>
      </w:r>
      <w:r w:rsidR="0052090F" w:rsidRPr="008D2C8A">
        <w:rPr>
          <w:rFonts w:eastAsia="Times New Roman" w:cs="Calibri"/>
          <w:iCs/>
          <w:lang w:eastAsia="pl-PL"/>
        </w:rPr>
        <w:t>i</w:t>
      </w:r>
      <w:r w:rsidR="0088213A" w:rsidRPr="008D2C8A">
        <w:rPr>
          <w:rFonts w:eastAsia="Times New Roman" w:cs="Calibri"/>
          <w:iCs/>
          <w:lang w:eastAsia="pl-PL"/>
        </w:rPr>
        <w:t>nwestycji</w:t>
      </w:r>
      <w:r w:rsidR="002F7451" w:rsidRPr="008D2C8A">
        <w:rPr>
          <w:rFonts w:eastAsia="Times New Roman" w:cs="Calibri"/>
          <w:iCs/>
          <w:lang w:eastAsia="pl-PL"/>
        </w:rPr>
        <w:t xml:space="preserve">: </w:t>
      </w:r>
    </w:p>
    <w:p w14:paraId="519D3634" w14:textId="3B6AD4BA" w:rsidR="00AF5159" w:rsidRPr="008D2C8A" w:rsidRDefault="00AF5159" w:rsidP="0044720A">
      <w:pPr>
        <w:pStyle w:val="Akapitzlist"/>
        <w:widowControl w:val="0"/>
        <w:numPr>
          <w:ilvl w:val="0"/>
          <w:numId w:val="33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 xml:space="preserve">stosowane będą praktyki w zakresie </w:t>
      </w:r>
      <w:hyperlink r:id="rId8" w:history="1">
        <w:r w:rsidRPr="008D2C8A">
          <w:rPr>
            <w:rStyle w:val="Hipercze"/>
            <w:rFonts w:cs="Calibri"/>
            <w:color w:val="auto"/>
          </w:rPr>
          <w:t>zrównoważonych zamówień publicznych</w:t>
        </w:r>
      </w:hyperlink>
      <w:r w:rsidRPr="008D2C8A">
        <w:rPr>
          <w:rFonts w:cs="Calibri"/>
        </w:rPr>
        <w:t xml:space="preserve"> </w:t>
      </w:r>
      <w:r w:rsidR="007050FD" w:rsidRPr="008D2C8A">
        <w:rPr>
          <w:rFonts w:cs="Calibri"/>
        </w:rPr>
        <w:t>lub stosownych równoważnych rozwiązań przy zamawianiu towarów lub usług</w:t>
      </w:r>
      <w:r w:rsidRPr="008D2C8A">
        <w:rPr>
          <w:rFonts w:cs="Calibri"/>
        </w:rPr>
        <w:t>;</w:t>
      </w:r>
    </w:p>
    <w:p w14:paraId="17355C22" w14:textId="4E1B78E8" w:rsidR="00AF5159" w:rsidRPr="008D2C8A" w:rsidRDefault="00053C33" w:rsidP="0044720A">
      <w:pPr>
        <w:pStyle w:val="Akapitzlist"/>
        <w:widowControl w:val="0"/>
        <w:numPr>
          <w:ilvl w:val="0"/>
          <w:numId w:val="33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 xml:space="preserve">realizacja </w:t>
      </w:r>
      <w:r w:rsidR="0052090F" w:rsidRPr="008D2C8A">
        <w:rPr>
          <w:rFonts w:cs="Calibri"/>
        </w:rPr>
        <w:t>i</w:t>
      </w:r>
      <w:r w:rsidRPr="008D2C8A">
        <w:rPr>
          <w:rFonts w:cs="Calibri"/>
        </w:rPr>
        <w:t>nwestycji (i eksploatacja jej produktu/-ów) wpisze się w </w:t>
      </w:r>
      <w:r w:rsidR="001F4867" w:rsidRPr="008D2C8A">
        <w:rPr>
          <w:rFonts w:cs="Calibri"/>
        </w:rPr>
        <w:t xml:space="preserve">oszczędne </w:t>
      </w:r>
      <w:r w:rsidR="00EA16A7" w:rsidRPr="008D2C8A">
        <w:rPr>
          <w:rFonts w:cs="Calibri"/>
        </w:rPr>
        <w:t>gospodarowanie zasobami takimi jak energia, woda, ciepło, surowce, materiały, zmniejszenie ilości odpadów poprzez korzystanie z produktów, surowców i materiałów wytwarzanych lokalnie i sezonowych; pochodzących z recyklingu; wypożyczane sprzętu i urządzeń od innych zamiast kupowania nowych, stosowania produktów z wymiennymi elementami/częściami, żeby dłużej służyły</w:t>
      </w:r>
      <w:r w:rsidR="00AF5159" w:rsidRPr="008D2C8A">
        <w:rPr>
          <w:rFonts w:cs="Calibri"/>
        </w:rPr>
        <w:t>;</w:t>
      </w:r>
    </w:p>
    <w:p w14:paraId="751C45C3" w14:textId="6575C47C" w:rsidR="00AF5159" w:rsidRPr="008D2C8A" w:rsidRDefault="00AF5159" w:rsidP="0044720A">
      <w:pPr>
        <w:pStyle w:val="Akapitzlist"/>
        <w:widowControl w:val="0"/>
        <w:numPr>
          <w:ilvl w:val="0"/>
          <w:numId w:val="33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realizacja</w:t>
      </w:r>
      <w:r w:rsidR="00E55B4F" w:rsidRPr="008D2C8A">
        <w:rPr>
          <w:rFonts w:cs="Calibri"/>
        </w:rPr>
        <w:t xml:space="preserve"> </w:t>
      </w:r>
      <w:r w:rsidR="00AF4A61" w:rsidRPr="008D2C8A">
        <w:rPr>
          <w:rFonts w:cs="Calibri"/>
        </w:rPr>
        <w:t>i</w:t>
      </w:r>
      <w:r w:rsidR="00E55B4F" w:rsidRPr="008D2C8A">
        <w:rPr>
          <w:rFonts w:cs="Calibri"/>
        </w:rPr>
        <w:t xml:space="preserve">nwestycji </w:t>
      </w:r>
      <w:r w:rsidRPr="008D2C8A">
        <w:rPr>
          <w:rFonts w:cs="Calibri"/>
        </w:rPr>
        <w:t>prowadzona będzie w sposób zapewniający zachowanie i rozwój zielonej infrastruktury</w:t>
      </w:r>
      <w:r w:rsidR="009F34EC" w:rsidRPr="008D2C8A">
        <w:t xml:space="preserve"> </w:t>
      </w:r>
      <w:r w:rsidR="009F34EC" w:rsidRPr="008D2C8A">
        <w:rPr>
          <w:rFonts w:cs="Calibri"/>
        </w:rPr>
        <w:t>tj. drzew, krzewów, roślin zielnych itp.</w:t>
      </w:r>
      <w:r w:rsidR="005436F7" w:rsidRPr="008D2C8A">
        <w:rPr>
          <w:rFonts w:cs="Calibri"/>
        </w:rPr>
        <w:t>; w</w:t>
      </w:r>
      <w:r w:rsidR="009F34EC" w:rsidRPr="008D2C8A">
        <w:rPr>
          <w:rFonts w:cs="Calibri"/>
        </w:rPr>
        <w:t xml:space="preserve"> przypadku  drzew należy stosować standardy ochrony w tym podczas prac budowlanych</w:t>
      </w:r>
      <w:r w:rsidR="001D2530" w:rsidRPr="008D2C8A">
        <w:rPr>
          <w:rFonts w:cs="Calibri"/>
        </w:rPr>
        <w:t xml:space="preserve">, </w:t>
      </w:r>
    </w:p>
    <w:p w14:paraId="723690E9" w14:textId="22F61BAB" w:rsidR="00450B18" w:rsidRPr="008D2C8A" w:rsidRDefault="00952798" w:rsidP="0044720A">
      <w:pPr>
        <w:pStyle w:val="Akapitzlist"/>
        <w:numPr>
          <w:ilvl w:val="0"/>
          <w:numId w:val="33"/>
        </w:numPr>
        <w:spacing w:before="120" w:after="120"/>
        <w:contextualSpacing w:val="0"/>
        <w:jc w:val="both"/>
        <w:rPr>
          <w:rFonts w:cs="Calibri"/>
          <w:lang w:eastAsia="pl-PL"/>
        </w:rPr>
      </w:pPr>
      <w:r w:rsidRPr="008D2C8A">
        <w:rPr>
          <w:rFonts w:cs="Calibri"/>
          <w:lang w:eastAsia="pl-PL"/>
        </w:rPr>
        <w:t>w</w:t>
      </w:r>
      <w:r w:rsidR="00450B18" w:rsidRPr="008D2C8A">
        <w:rPr>
          <w:rFonts w:cs="Calibri"/>
          <w:lang w:eastAsia="pl-PL"/>
        </w:rPr>
        <w:t xml:space="preserve"> zależności od zakresu</w:t>
      </w:r>
      <w:r w:rsidR="00E14D91" w:rsidRPr="008D2C8A">
        <w:rPr>
          <w:rFonts w:cs="Calibri"/>
          <w:lang w:eastAsia="pl-PL"/>
        </w:rPr>
        <w:t xml:space="preserve"> (w szczególności dla obiektów kubaturowych lub przestrzeni zewnętrzn</w:t>
      </w:r>
      <w:r w:rsidR="00930C08" w:rsidRPr="008D2C8A">
        <w:rPr>
          <w:rFonts w:cs="Calibri"/>
          <w:lang w:eastAsia="pl-PL"/>
        </w:rPr>
        <w:t>ych)</w:t>
      </w:r>
      <w:r w:rsidR="00B974DF" w:rsidRPr="008D2C8A">
        <w:rPr>
          <w:rFonts w:cs="Calibri"/>
          <w:lang w:eastAsia="pl-PL"/>
        </w:rPr>
        <w:t xml:space="preserve">, realizowane </w:t>
      </w:r>
      <w:r w:rsidR="00AF4A61" w:rsidRPr="008D2C8A">
        <w:rPr>
          <w:rFonts w:cs="Calibri"/>
          <w:lang w:eastAsia="pl-PL"/>
        </w:rPr>
        <w:t>i</w:t>
      </w:r>
      <w:r w:rsidR="00450B18" w:rsidRPr="008D2C8A">
        <w:rPr>
          <w:rFonts w:cs="Calibri"/>
          <w:lang w:eastAsia="pl-PL"/>
        </w:rPr>
        <w:t xml:space="preserve">nwestycje będą łączyć zasady zrównoważonego rozwoju, estetyki </w:t>
      </w:r>
      <w:r w:rsidR="00EA4AC1">
        <w:rPr>
          <w:rFonts w:cs="Calibri"/>
          <w:lang w:eastAsia="pl-PL"/>
        </w:rPr>
        <w:br/>
      </w:r>
      <w:r w:rsidR="00450B18" w:rsidRPr="008D2C8A">
        <w:rPr>
          <w:rFonts w:cs="Calibri"/>
          <w:lang w:eastAsia="pl-PL"/>
        </w:rPr>
        <w:t xml:space="preserve">i włączenia, zgodnie z ideą inicjatywy </w:t>
      </w:r>
      <w:hyperlink r:id="rId9" w:history="1">
        <w:r w:rsidR="00450B18" w:rsidRPr="008D2C8A">
          <w:rPr>
            <w:rStyle w:val="Hipercze"/>
            <w:rFonts w:cs="Calibri"/>
            <w:color w:val="auto"/>
            <w:lang w:eastAsia="pl-PL"/>
          </w:rPr>
          <w:t xml:space="preserve">Nowy Europejski </w:t>
        </w:r>
        <w:proofErr w:type="spellStart"/>
        <w:r w:rsidR="00450B18" w:rsidRPr="008D2C8A">
          <w:rPr>
            <w:rStyle w:val="Hipercze"/>
            <w:rFonts w:cs="Calibri"/>
            <w:color w:val="auto"/>
            <w:lang w:eastAsia="pl-PL"/>
          </w:rPr>
          <w:t>Bauhaus</w:t>
        </w:r>
        <w:proofErr w:type="spellEnd"/>
      </w:hyperlink>
      <w:r w:rsidR="00450B18" w:rsidRPr="008D2C8A">
        <w:rPr>
          <w:rFonts w:cs="Calibri"/>
          <w:lang w:eastAsia="pl-PL"/>
        </w:rPr>
        <w:t>.</w:t>
      </w:r>
    </w:p>
    <w:p w14:paraId="4CACA3CB" w14:textId="7CF961E2" w:rsidR="00F71681" w:rsidRPr="008D2C8A" w:rsidRDefault="00504D14" w:rsidP="0044720A">
      <w:pPr>
        <w:pStyle w:val="Akapitzlist"/>
        <w:widowControl w:val="0"/>
        <w:numPr>
          <w:ilvl w:val="0"/>
          <w:numId w:val="10"/>
        </w:numPr>
        <w:suppressAutoHyphens/>
        <w:spacing w:before="120" w:after="120"/>
        <w:ind w:left="426"/>
        <w:contextualSpacing w:val="0"/>
        <w:jc w:val="both"/>
        <w:rPr>
          <w:rFonts w:eastAsia="Times New Roman" w:cs="Calibri"/>
          <w:iCs/>
          <w:lang w:eastAsia="pl-PL"/>
        </w:rPr>
      </w:pPr>
      <w:r w:rsidRPr="008D2C8A">
        <w:rPr>
          <w:rFonts w:eastAsia="Times New Roman" w:cs="Calibri"/>
          <w:iCs/>
          <w:lang w:eastAsia="pl-PL"/>
        </w:rPr>
        <w:t>Pożyczk</w:t>
      </w:r>
      <w:r w:rsidR="00AF4A61" w:rsidRPr="008D2C8A">
        <w:rPr>
          <w:rFonts w:eastAsia="Times New Roman" w:cs="Calibri"/>
          <w:iCs/>
          <w:lang w:eastAsia="pl-PL"/>
        </w:rPr>
        <w:t>a</w:t>
      </w:r>
      <w:r w:rsidRPr="008D2C8A">
        <w:rPr>
          <w:rFonts w:eastAsia="Times New Roman" w:cs="Calibri"/>
          <w:iCs/>
          <w:lang w:eastAsia="pl-PL"/>
        </w:rPr>
        <w:t xml:space="preserve"> udzielan</w:t>
      </w:r>
      <w:r w:rsidR="00AF4A61" w:rsidRPr="008D2C8A">
        <w:rPr>
          <w:rFonts w:eastAsia="Times New Roman" w:cs="Calibri"/>
          <w:iCs/>
          <w:lang w:eastAsia="pl-PL"/>
        </w:rPr>
        <w:t>a</w:t>
      </w:r>
      <w:r w:rsidRPr="008D2C8A">
        <w:rPr>
          <w:rFonts w:eastAsia="Times New Roman" w:cs="Calibri"/>
          <w:iCs/>
          <w:lang w:eastAsia="pl-PL"/>
        </w:rPr>
        <w:t xml:space="preserve"> </w:t>
      </w:r>
      <w:r w:rsidR="00AF4A61" w:rsidRPr="008D2C8A">
        <w:rPr>
          <w:rFonts w:eastAsia="Times New Roman" w:cs="Calibri"/>
          <w:iCs/>
          <w:lang w:eastAsia="pl-PL"/>
        </w:rPr>
        <w:t xml:space="preserve">jest </w:t>
      </w:r>
      <w:r w:rsidRPr="008D2C8A">
        <w:rPr>
          <w:rFonts w:eastAsia="Times New Roman" w:cs="Calibri"/>
          <w:iCs/>
          <w:lang w:eastAsia="pl-PL"/>
        </w:rPr>
        <w:t xml:space="preserve">wyłącznie na te elementy </w:t>
      </w:r>
      <w:r w:rsidR="00AF4A61" w:rsidRPr="008D2C8A">
        <w:rPr>
          <w:rFonts w:eastAsia="Times New Roman" w:cs="Calibri"/>
          <w:iCs/>
          <w:lang w:eastAsia="pl-PL"/>
        </w:rPr>
        <w:t>i</w:t>
      </w:r>
      <w:r w:rsidRPr="008D2C8A">
        <w:rPr>
          <w:rFonts w:eastAsia="Times New Roman" w:cs="Calibri"/>
          <w:iCs/>
          <w:lang w:eastAsia="pl-PL"/>
        </w:rPr>
        <w:t xml:space="preserve">nwestycji, które nie są fizycznie ukończone lub </w:t>
      </w:r>
      <w:r w:rsidR="00EA4AC1">
        <w:rPr>
          <w:rFonts w:eastAsia="Times New Roman" w:cs="Calibri"/>
          <w:iCs/>
          <w:lang w:eastAsia="pl-PL"/>
        </w:rPr>
        <w:br/>
      </w:r>
      <w:r w:rsidRPr="008D2C8A">
        <w:rPr>
          <w:rFonts w:eastAsia="Times New Roman" w:cs="Calibri"/>
          <w:iCs/>
          <w:lang w:eastAsia="pl-PL"/>
        </w:rPr>
        <w:t xml:space="preserve">w pełni wdrożone na dzień podjęcia decyzji inwestycyjnej przez </w:t>
      </w:r>
      <w:r w:rsidR="0091243B">
        <w:rPr>
          <w:rFonts w:eastAsia="Times New Roman" w:cs="Calibri"/>
          <w:iCs/>
          <w:lang w:eastAsia="pl-PL"/>
        </w:rPr>
        <w:t xml:space="preserve">Świętokrzyski Fundusz Rozwoju </w:t>
      </w:r>
      <w:r w:rsidR="00EA4AC1">
        <w:rPr>
          <w:rFonts w:eastAsia="Times New Roman" w:cs="Calibri"/>
          <w:iCs/>
          <w:lang w:eastAsia="pl-PL"/>
        </w:rPr>
        <w:br/>
      </w:r>
      <w:r w:rsidR="0091243B">
        <w:rPr>
          <w:rFonts w:eastAsia="Times New Roman" w:cs="Calibri"/>
          <w:iCs/>
          <w:lang w:eastAsia="pl-PL"/>
        </w:rPr>
        <w:t>Sp. z o.o.</w:t>
      </w:r>
      <w:r w:rsidR="00C338AC" w:rsidRPr="00521386">
        <w:rPr>
          <w:rFonts w:eastAsia="Times New Roman" w:cs="Calibri"/>
          <w:iCs/>
          <w:lang w:eastAsia="pl-PL"/>
        </w:rPr>
        <w:t xml:space="preserve"> tj. na dzień podjęcia prawnie wiążącego zobowiązania do udzielenia pożyczki</w:t>
      </w:r>
      <w:r w:rsidRPr="008D2C8A">
        <w:rPr>
          <w:rFonts w:eastAsia="Times New Roman" w:cs="Calibri"/>
          <w:iCs/>
          <w:lang w:eastAsia="pl-PL"/>
        </w:rPr>
        <w:t>.</w:t>
      </w:r>
    </w:p>
    <w:p w14:paraId="2068739A" w14:textId="4E558F92" w:rsidR="005F757E" w:rsidRPr="008D2C8A" w:rsidRDefault="005F757E" w:rsidP="0044720A">
      <w:pPr>
        <w:pStyle w:val="Akapitzlist"/>
        <w:widowControl w:val="0"/>
        <w:numPr>
          <w:ilvl w:val="0"/>
          <w:numId w:val="10"/>
        </w:numPr>
        <w:suppressAutoHyphens/>
        <w:spacing w:before="120" w:after="120"/>
        <w:ind w:left="426"/>
        <w:contextualSpacing w:val="0"/>
        <w:jc w:val="both"/>
        <w:rPr>
          <w:rFonts w:eastAsia="Times New Roman" w:cs="Calibri"/>
          <w:iCs/>
          <w:lang w:eastAsia="pl-PL"/>
        </w:rPr>
      </w:pPr>
      <w:r w:rsidRPr="008D2C8A">
        <w:rPr>
          <w:rFonts w:eastAsia="Times New Roman" w:cs="Calibri"/>
          <w:iCs/>
          <w:lang w:eastAsia="pl-PL"/>
        </w:rPr>
        <w:t xml:space="preserve">Pożyczka może finansować do 100% wydatków w ramach </w:t>
      </w:r>
      <w:r w:rsidR="00D153D6" w:rsidRPr="008D2C8A">
        <w:rPr>
          <w:rFonts w:eastAsia="Times New Roman" w:cs="Calibri"/>
          <w:iCs/>
          <w:lang w:eastAsia="pl-PL"/>
        </w:rPr>
        <w:t>i</w:t>
      </w:r>
      <w:r w:rsidR="0097188B" w:rsidRPr="008D2C8A">
        <w:rPr>
          <w:rFonts w:eastAsia="Times New Roman" w:cs="Calibri"/>
          <w:iCs/>
          <w:lang w:eastAsia="pl-PL"/>
        </w:rPr>
        <w:t>nwestycji</w:t>
      </w:r>
      <w:r w:rsidRPr="008D2C8A">
        <w:rPr>
          <w:rFonts w:eastAsia="Times New Roman" w:cs="Calibri"/>
          <w:iCs/>
          <w:lang w:eastAsia="pl-PL"/>
        </w:rPr>
        <w:t>.</w:t>
      </w:r>
    </w:p>
    <w:p w14:paraId="20595974" w14:textId="299BC702" w:rsidR="007F2244" w:rsidRPr="008D2C8A" w:rsidRDefault="003A1452" w:rsidP="0044720A">
      <w:pPr>
        <w:pStyle w:val="Akapitzlist"/>
        <w:widowControl w:val="0"/>
        <w:numPr>
          <w:ilvl w:val="0"/>
          <w:numId w:val="10"/>
        </w:numPr>
        <w:suppressAutoHyphens/>
        <w:spacing w:before="120" w:after="120"/>
        <w:ind w:left="426"/>
        <w:contextualSpacing w:val="0"/>
        <w:jc w:val="both"/>
        <w:rPr>
          <w:rFonts w:cs="Calibri"/>
        </w:rPr>
      </w:pPr>
      <w:r w:rsidRPr="008D2C8A">
        <w:rPr>
          <w:rFonts w:eastAsia="Times New Roman" w:cs="Calibri"/>
          <w:iCs/>
          <w:lang w:eastAsia="pl-PL"/>
        </w:rPr>
        <w:t>Z</w:t>
      </w:r>
      <w:r w:rsidR="007F2244" w:rsidRPr="008D2C8A">
        <w:rPr>
          <w:rFonts w:eastAsia="Times New Roman" w:cs="Calibri"/>
          <w:iCs/>
          <w:lang w:eastAsia="pl-PL"/>
        </w:rPr>
        <w:t xml:space="preserve"> zastrzeżeniem ust.</w:t>
      </w:r>
      <w:r w:rsidRPr="008D2C8A">
        <w:rPr>
          <w:rFonts w:eastAsia="Times New Roman" w:cs="Calibri"/>
          <w:iCs/>
          <w:lang w:eastAsia="pl-PL"/>
        </w:rPr>
        <w:t xml:space="preserve"> </w:t>
      </w:r>
      <w:r w:rsidR="00F6532F" w:rsidRPr="008D2C8A">
        <w:rPr>
          <w:rFonts w:eastAsia="Times New Roman" w:cs="Calibri"/>
          <w:iCs/>
          <w:lang w:eastAsia="pl-PL"/>
        </w:rPr>
        <w:t>7</w:t>
      </w:r>
      <w:r w:rsidR="00D153D6" w:rsidRPr="008D2C8A">
        <w:rPr>
          <w:rFonts w:eastAsia="Times New Roman" w:cs="Calibri"/>
          <w:iCs/>
          <w:lang w:eastAsia="pl-PL"/>
        </w:rPr>
        <w:t xml:space="preserve"> </w:t>
      </w:r>
      <w:r w:rsidR="004D5928" w:rsidRPr="008D2C8A">
        <w:rPr>
          <w:rFonts w:eastAsia="Times New Roman" w:cs="Calibri"/>
          <w:iCs/>
          <w:lang w:eastAsia="pl-PL"/>
        </w:rPr>
        <w:t xml:space="preserve">i </w:t>
      </w:r>
      <w:r w:rsidR="00F6532F" w:rsidRPr="008D2C8A">
        <w:rPr>
          <w:rFonts w:eastAsia="Times New Roman" w:cs="Calibri"/>
          <w:iCs/>
          <w:lang w:eastAsia="pl-PL"/>
        </w:rPr>
        <w:t>8</w:t>
      </w:r>
      <w:r w:rsidR="00FF2137" w:rsidRPr="008D2C8A">
        <w:rPr>
          <w:rFonts w:eastAsia="Times New Roman" w:cs="Calibri"/>
          <w:iCs/>
          <w:lang w:eastAsia="pl-PL"/>
        </w:rPr>
        <w:t>, Pożyczka finansuje wydatki w kwotach brutto, tj. z</w:t>
      </w:r>
      <w:r w:rsidR="00D13C1C" w:rsidRPr="008D2C8A">
        <w:rPr>
          <w:rFonts w:eastAsia="Times New Roman" w:cs="Calibri"/>
          <w:iCs/>
          <w:lang w:eastAsia="pl-PL"/>
        </w:rPr>
        <w:t> </w:t>
      </w:r>
      <w:r w:rsidR="00FF2137" w:rsidRPr="008D2C8A">
        <w:rPr>
          <w:rFonts w:eastAsia="Times New Roman" w:cs="Calibri"/>
          <w:iCs/>
          <w:lang w:eastAsia="pl-PL"/>
        </w:rPr>
        <w:t>podatkiem VAT</w:t>
      </w:r>
      <w:r w:rsidR="007E59D5" w:rsidRPr="008D2C8A">
        <w:rPr>
          <w:rFonts w:eastAsia="Times New Roman" w:cs="Calibri"/>
          <w:iCs/>
          <w:lang w:eastAsia="pl-PL"/>
        </w:rPr>
        <w:t>.</w:t>
      </w:r>
      <w:r w:rsidR="00FF2137" w:rsidRPr="008D2C8A">
        <w:rPr>
          <w:rFonts w:eastAsia="Times New Roman" w:cs="Calibri"/>
          <w:iCs/>
          <w:lang w:eastAsia="pl-PL"/>
        </w:rPr>
        <w:t xml:space="preserve"> </w:t>
      </w:r>
    </w:p>
    <w:p w14:paraId="73688118" w14:textId="04668BCA" w:rsidR="007F2244" w:rsidRPr="008D2C8A" w:rsidRDefault="007433CB" w:rsidP="0044720A">
      <w:pPr>
        <w:pStyle w:val="Akapitzlist"/>
        <w:widowControl w:val="0"/>
        <w:numPr>
          <w:ilvl w:val="0"/>
          <w:numId w:val="10"/>
        </w:numPr>
        <w:suppressAutoHyphens/>
        <w:spacing w:before="120" w:after="120"/>
        <w:ind w:left="426"/>
        <w:contextualSpacing w:val="0"/>
        <w:jc w:val="both"/>
        <w:rPr>
          <w:rFonts w:eastAsia="Times New Roman" w:cs="Calibri"/>
          <w:iCs/>
          <w:lang w:eastAsia="pl-PL"/>
        </w:rPr>
      </w:pPr>
      <w:r w:rsidRPr="008D2C8A">
        <w:rPr>
          <w:rFonts w:eastAsia="Times New Roman" w:cs="Calibri"/>
          <w:iCs/>
          <w:lang w:eastAsia="pl-PL"/>
        </w:rPr>
        <w:t>Dopuszczalność finansowania</w:t>
      </w:r>
      <w:r w:rsidR="007F2244" w:rsidRPr="008D2C8A">
        <w:rPr>
          <w:rFonts w:eastAsia="Times New Roman" w:cs="Calibri"/>
          <w:iCs/>
          <w:lang w:eastAsia="pl-PL"/>
        </w:rPr>
        <w:t xml:space="preserve"> podatku VAT</w:t>
      </w:r>
      <w:r w:rsidRPr="008D2C8A">
        <w:rPr>
          <w:rFonts w:eastAsia="Times New Roman" w:cs="Calibri"/>
          <w:iCs/>
          <w:lang w:eastAsia="pl-PL"/>
        </w:rPr>
        <w:t xml:space="preserve"> w ramach Pożycz</w:t>
      </w:r>
      <w:r w:rsidR="000B0046" w:rsidRPr="008D2C8A">
        <w:rPr>
          <w:rFonts w:eastAsia="Times New Roman" w:cs="Calibri"/>
          <w:iCs/>
          <w:lang w:eastAsia="pl-PL"/>
        </w:rPr>
        <w:t>ki</w:t>
      </w:r>
      <w:r w:rsidR="007F2244" w:rsidRPr="008D2C8A">
        <w:rPr>
          <w:rFonts w:eastAsia="Times New Roman" w:cs="Calibri"/>
          <w:iCs/>
          <w:lang w:eastAsia="pl-PL"/>
        </w:rPr>
        <w:t xml:space="preserve"> może podlegać dodatkowym ograniczeniom wynikającym z zasad udzielania pomocy publicznej.</w:t>
      </w:r>
    </w:p>
    <w:p w14:paraId="227E57AF" w14:textId="51184F97" w:rsidR="005F757E" w:rsidRPr="008D2C8A" w:rsidRDefault="00A35927" w:rsidP="0044720A">
      <w:pPr>
        <w:pStyle w:val="Akapitzlist"/>
        <w:widowControl w:val="0"/>
        <w:numPr>
          <w:ilvl w:val="0"/>
          <w:numId w:val="10"/>
        </w:numPr>
        <w:suppressAutoHyphens/>
        <w:spacing w:before="120" w:after="120"/>
        <w:ind w:left="426"/>
        <w:contextualSpacing w:val="0"/>
        <w:jc w:val="both"/>
        <w:rPr>
          <w:rFonts w:eastAsia="Times New Roman" w:cs="Calibri"/>
          <w:iCs/>
          <w:lang w:eastAsia="pl-PL"/>
        </w:rPr>
      </w:pPr>
      <w:r w:rsidRPr="008D2C8A">
        <w:rPr>
          <w:rFonts w:eastAsia="Times New Roman" w:cs="Calibri"/>
          <w:iCs/>
          <w:lang w:eastAsia="pl-PL"/>
        </w:rPr>
        <w:t xml:space="preserve">W przypadku łączenia </w:t>
      </w:r>
      <w:r w:rsidR="00FC30B2" w:rsidRPr="008D2C8A">
        <w:rPr>
          <w:rFonts w:eastAsia="Times New Roman" w:cs="Calibri"/>
          <w:iCs/>
          <w:lang w:eastAsia="pl-PL"/>
        </w:rPr>
        <w:t>Pożycz</w:t>
      </w:r>
      <w:r w:rsidR="000B0046" w:rsidRPr="008D2C8A">
        <w:rPr>
          <w:rFonts w:eastAsia="Times New Roman" w:cs="Calibri"/>
          <w:iCs/>
          <w:lang w:eastAsia="pl-PL"/>
        </w:rPr>
        <w:t>k</w:t>
      </w:r>
      <w:r w:rsidR="004E6D03" w:rsidRPr="008D2C8A">
        <w:rPr>
          <w:rFonts w:eastAsia="Times New Roman" w:cs="Calibri"/>
          <w:iCs/>
          <w:lang w:eastAsia="pl-PL"/>
        </w:rPr>
        <w:t>i</w:t>
      </w:r>
      <w:r w:rsidRPr="008D2C8A">
        <w:rPr>
          <w:rFonts w:eastAsia="Times New Roman" w:cs="Calibri"/>
          <w:iCs/>
          <w:lang w:eastAsia="pl-PL"/>
        </w:rPr>
        <w:t xml:space="preserve"> z innym</w:t>
      </w:r>
      <w:r w:rsidR="00C45623" w:rsidRPr="008D2C8A">
        <w:rPr>
          <w:rFonts w:eastAsia="Times New Roman" w:cs="Calibri"/>
          <w:iCs/>
          <w:lang w:eastAsia="pl-PL"/>
        </w:rPr>
        <w:t>i formami wsparcia</w:t>
      </w:r>
      <w:r w:rsidRPr="008D2C8A">
        <w:rPr>
          <w:rFonts w:eastAsia="Times New Roman" w:cs="Calibri"/>
          <w:iCs/>
          <w:lang w:eastAsia="pl-PL"/>
        </w:rPr>
        <w:t>, należy przestrzegać</w:t>
      </w:r>
      <w:r w:rsidR="004E1450" w:rsidRPr="008D2C8A">
        <w:rPr>
          <w:rFonts w:eastAsia="Times New Roman" w:cs="Calibri"/>
          <w:iCs/>
          <w:lang w:eastAsia="pl-PL"/>
        </w:rPr>
        <w:t xml:space="preserve"> </w:t>
      </w:r>
      <w:r w:rsidRPr="008D2C8A">
        <w:rPr>
          <w:rFonts w:eastAsia="Times New Roman" w:cs="Calibri"/>
          <w:iCs/>
          <w:lang w:eastAsia="pl-PL"/>
        </w:rPr>
        <w:t xml:space="preserve">zasad określonych </w:t>
      </w:r>
      <w:r w:rsidR="00EA4AC1">
        <w:rPr>
          <w:rFonts w:eastAsia="Times New Roman" w:cs="Calibri"/>
          <w:iCs/>
          <w:lang w:eastAsia="pl-PL"/>
        </w:rPr>
        <w:br/>
      </w:r>
      <w:r w:rsidRPr="008D2C8A">
        <w:rPr>
          <w:rFonts w:eastAsia="Times New Roman" w:cs="Calibri"/>
          <w:iCs/>
          <w:lang w:eastAsia="pl-PL"/>
        </w:rPr>
        <w:t>w sekcji</w:t>
      </w:r>
      <w:r w:rsidR="004E1450" w:rsidRPr="008D2C8A">
        <w:rPr>
          <w:rFonts w:eastAsia="Times New Roman" w:cs="Calibri"/>
          <w:iCs/>
          <w:lang w:eastAsia="pl-PL"/>
        </w:rPr>
        <w:t xml:space="preserve"> 3.9.3 Wytycznych dotyczących kwalifikowalności wydatków</w:t>
      </w:r>
      <w:r w:rsidR="004E4F46" w:rsidRPr="008D2C8A">
        <w:rPr>
          <w:rFonts w:eastAsia="Times New Roman" w:cs="Calibri"/>
          <w:iCs/>
          <w:lang w:eastAsia="pl-PL"/>
        </w:rPr>
        <w:t xml:space="preserve"> na lata 2021</w:t>
      </w:r>
      <w:r w:rsidR="006558FF" w:rsidRPr="008D2C8A">
        <w:rPr>
          <w:rFonts w:eastAsia="Times New Roman" w:cs="Calibri"/>
          <w:iCs/>
          <w:lang w:eastAsia="pl-PL"/>
        </w:rPr>
        <w:t>-2027</w:t>
      </w:r>
      <w:r w:rsidR="004E1450" w:rsidRPr="008D2C8A">
        <w:rPr>
          <w:rFonts w:eastAsia="Times New Roman" w:cs="Calibri"/>
          <w:iCs/>
          <w:lang w:eastAsia="pl-PL"/>
        </w:rPr>
        <w:t xml:space="preserve"> oraz </w:t>
      </w:r>
      <w:r w:rsidR="004E1450" w:rsidRPr="008D2C8A">
        <w:rPr>
          <w:rFonts w:eastAsia="Times New Roman" w:cs="Calibri"/>
          <w:iCs/>
          <w:lang w:eastAsia="pl-PL"/>
        </w:rPr>
        <w:lastRenderedPageBreak/>
        <w:t>właściwych przepisów dotyczących pomocy publicznej.</w:t>
      </w:r>
    </w:p>
    <w:p w14:paraId="0771827F" w14:textId="77777777" w:rsidR="001D1C13" w:rsidRPr="008D2C8A" w:rsidRDefault="001D1C13" w:rsidP="0044720A">
      <w:pPr>
        <w:pStyle w:val="Akapitzlist"/>
        <w:widowControl w:val="0"/>
        <w:numPr>
          <w:ilvl w:val="0"/>
          <w:numId w:val="4"/>
        </w:numPr>
        <w:suppressAutoHyphens/>
        <w:spacing w:before="120" w:after="120"/>
        <w:ind w:left="425" w:hanging="425"/>
        <w:contextualSpacing w:val="0"/>
        <w:jc w:val="both"/>
        <w:rPr>
          <w:rFonts w:cs="Calibri"/>
          <w:b/>
        </w:rPr>
      </w:pPr>
      <w:r w:rsidRPr="008D2C8A">
        <w:rPr>
          <w:rFonts w:cs="Calibri"/>
          <w:b/>
        </w:rPr>
        <w:t>Wykluczenia</w:t>
      </w:r>
      <w:r w:rsidR="00985517" w:rsidRPr="008D2C8A">
        <w:rPr>
          <w:rFonts w:cs="Calibri"/>
          <w:b/>
        </w:rPr>
        <w:t xml:space="preserve"> i ograniczenia w finansowaniu</w:t>
      </w:r>
    </w:p>
    <w:p w14:paraId="28A7FCA8" w14:textId="47884351" w:rsidR="001D1C13" w:rsidRPr="008D2C8A" w:rsidRDefault="001D1C13" w:rsidP="0044720A">
      <w:pPr>
        <w:pStyle w:val="Akapitzlist"/>
        <w:widowControl w:val="0"/>
        <w:numPr>
          <w:ilvl w:val="0"/>
          <w:numId w:val="5"/>
        </w:numPr>
        <w:suppressAutoHyphens/>
        <w:spacing w:before="120" w:after="120"/>
        <w:ind w:left="426" w:hanging="426"/>
        <w:contextualSpacing w:val="0"/>
        <w:jc w:val="both"/>
        <w:rPr>
          <w:rFonts w:cs="Calibri"/>
        </w:rPr>
      </w:pPr>
      <w:r w:rsidRPr="008D2C8A">
        <w:rPr>
          <w:rFonts w:cs="Calibri"/>
        </w:rPr>
        <w:t xml:space="preserve">Środki z Pożyczki </w:t>
      </w:r>
      <w:r w:rsidR="00985517" w:rsidRPr="008D2C8A">
        <w:rPr>
          <w:rFonts w:cs="Calibri"/>
        </w:rPr>
        <w:t>nie mogą być przeznaczone na:</w:t>
      </w:r>
    </w:p>
    <w:p w14:paraId="11072FDE" w14:textId="77777777" w:rsidR="0049265B" w:rsidRPr="008D2C8A" w:rsidRDefault="000578F3" w:rsidP="0044720A">
      <w:pPr>
        <w:pStyle w:val="Akapitzlist"/>
        <w:widowControl w:val="0"/>
        <w:numPr>
          <w:ilvl w:val="0"/>
          <w:numId w:val="35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w</w:t>
      </w:r>
      <w:r w:rsidR="00E02A2E" w:rsidRPr="008D2C8A">
        <w:rPr>
          <w:rFonts w:cs="Calibri"/>
        </w:rPr>
        <w:t xml:space="preserve">ydatki i inwestycje objęte </w:t>
      </w:r>
      <w:r w:rsidRPr="008D2C8A">
        <w:rPr>
          <w:rFonts w:cs="Calibri"/>
        </w:rPr>
        <w:t>wyłącze</w:t>
      </w:r>
      <w:r w:rsidR="00E02A2E" w:rsidRPr="008D2C8A">
        <w:rPr>
          <w:rFonts w:cs="Calibri"/>
        </w:rPr>
        <w:t xml:space="preserve">niem </w:t>
      </w:r>
      <w:r w:rsidRPr="008D2C8A">
        <w:rPr>
          <w:rFonts w:cs="Calibri"/>
        </w:rPr>
        <w:t xml:space="preserve">ze </w:t>
      </w:r>
      <w:r w:rsidR="00E02A2E" w:rsidRPr="008D2C8A">
        <w:rPr>
          <w:rFonts w:cs="Calibri"/>
        </w:rPr>
        <w:t>wsparcia z Europejskiego Funduszu Rozwoju Regionalnego</w:t>
      </w:r>
      <w:r w:rsidR="00653E64" w:rsidRPr="008D2C8A">
        <w:rPr>
          <w:rFonts w:cs="Calibri"/>
        </w:rPr>
        <w:t>,</w:t>
      </w:r>
      <w:r w:rsidR="00E02A2E" w:rsidRPr="008D2C8A">
        <w:rPr>
          <w:rFonts w:cs="Calibri"/>
        </w:rPr>
        <w:t xml:space="preserve"> </w:t>
      </w:r>
      <w:r w:rsidRPr="008D2C8A">
        <w:rPr>
          <w:rFonts w:cs="Calibri"/>
        </w:rPr>
        <w:t>wskazanym</w:t>
      </w:r>
      <w:r w:rsidR="00E02A2E" w:rsidRPr="008D2C8A">
        <w:rPr>
          <w:rFonts w:cs="Calibri"/>
        </w:rPr>
        <w:t xml:space="preserve"> w art. 7 ust. 1</w:t>
      </w:r>
      <w:r w:rsidR="00B92FC7" w:rsidRPr="008D2C8A">
        <w:rPr>
          <w:rFonts w:cs="Calibri"/>
        </w:rPr>
        <w:t xml:space="preserve"> Rozporządzenia EFRR;</w:t>
      </w:r>
    </w:p>
    <w:p w14:paraId="5BC422BA" w14:textId="77777777" w:rsidR="000578F3" w:rsidRPr="008D2C8A" w:rsidRDefault="000578F3" w:rsidP="0044720A">
      <w:pPr>
        <w:pStyle w:val="Akapitzlist"/>
        <w:widowControl w:val="0"/>
        <w:numPr>
          <w:ilvl w:val="0"/>
          <w:numId w:val="35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 xml:space="preserve">wydatki </w:t>
      </w:r>
      <w:r w:rsidR="0051110B" w:rsidRPr="008D2C8A">
        <w:rPr>
          <w:rFonts w:cs="Calibri"/>
        </w:rPr>
        <w:t>wspierające</w:t>
      </w:r>
      <w:r w:rsidRPr="008D2C8A">
        <w:rPr>
          <w:rFonts w:cs="Calibri"/>
        </w:rPr>
        <w:t xml:space="preserve"> przeniesienie produkcji, o który</w:t>
      </w:r>
      <w:r w:rsidR="004E1450" w:rsidRPr="008D2C8A">
        <w:rPr>
          <w:rFonts w:cs="Calibri"/>
        </w:rPr>
        <w:t>m</w:t>
      </w:r>
      <w:r w:rsidRPr="008D2C8A">
        <w:rPr>
          <w:rFonts w:cs="Calibri"/>
        </w:rPr>
        <w:t xml:space="preserve"> mowa w art. 66 Rozporządzenia Ogólnego;</w:t>
      </w:r>
    </w:p>
    <w:p w14:paraId="0E751390" w14:textId="77777777" w:rsidR="000578F3" w:rsidRPr="008D2C8A" w:rsidRDefault="000578F3" w:rsidP="0044720A">
      <w:pPr>
        <w:pStyle w:val="Akapitzlist"/>
        <w:widowControl w:val="0"/>
        <w:numPr>
          <w:ilvl w:val="0"/>
          <w:numId w:val="35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spłatę odsetek od zadłużenia</w:t>
      </w:r>
      <w:r w:rsidR="00B76DD1" w:rsidRPr="008D2C8A">
        <w:rPr>
          <w:rFonts w:cs="Calibri"/>
        </w:rPr>
        <w:t>,</w:t>
      </w:r>
      <w:r w:rsidRPr="008D2C8A">
        <w:rPr>
          <w:rFonts w:cs="Calibri"/>
        </w:rPr>
        <w:t xml:space="preserve"> o który</w:t>
      </w:r>
      <w:r w:rsidR="00853ED7" w:rsidRPr="008D2C8A">
        <w:rPr>
          <w:rFonts w:cs="Calibri"/>
        </w:rPr>
        <w:t>ch</w:t>
      </w:r>
      <w:r w:rsidRPr="008D2C8A">
        <w:rPr>
          <w:rFonts w:cs="Calibri"/>
        </w:rPr>
        <w:t xml:space="preserve"> mowa w art. 64 ust. 1</w:t>
      </w:r>
      <w:r w:rsidR="00853ED7" w:rsidRPr="008D2C8A">
        <w:rPr>
          <w:rFonts w:cs="Calibri"/>
        </w:rPr>
        <w:t xml:space="preserve"> lit. </w:t>
      </w:r>
      <w:r w:rsidRPr="008D2C8A">
        <w:rPr>
          <w:rFonts w:cs="Calibri"/>
        </w:rPr>
        <w:t>a Rozporządzenia Ogólnego;</w:t>
      </w:r>
    </w:p>
    <w:p w14:paraId="3C7C348F" w14:textId="518B6679" w:rsidR="001D1C13" w:rsidRPr="008D2C8A" w:rsidRDefault="001D1C13" w:rsidP="0044720A">
      <w:pPr>
        <w:pStyle w:val="Akapitzlist"/>
        <w:widowControl w:val="0"/>
        <w:numPr>
          <w:ilvl w:val="0"/>
          <w:numId w:val="35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prefinansowanie wydatków, w części</w:t>
      </w:r>
      <w:r w:rsidR="00A02EC7" w:rsidRPr="008D2C8A">
        <w:rPr>
          <w:rFonts w:cs="Calibri"/>
        </w:rPr>
        <w:t>,</w:t>
      </w:r>
      <w:r w:rsidRPr="008D2C8A">
        <w:rPr>
          <w:rFonts w:cs="Calibri"/>
        </w:rPr>
        <w:t xml:space="preserve"> na którą </w:t>
      </w:r>
      <w:r w:rsidR="003D50CC" w:rsidRPr="008D2C8A">
        <w:rPr>
          <w:rFonts w:cs="Calibri"/>
        </w:rPr>
        <w:t>Pożyczkobiorca</w:t>
      </w:r>
      <w:r w:rsidRPr="008D2C8A">
        <w:rPr>
          <w:rFonts w:cs="Calibri"/>
        </w:rPr>
        <w:t xml:space="preserve"> otrzymał dofinansowanie w formie dotacji;</w:t>
      </w:r>
    </w:p>
    <w:p w14:paraId="03F9231A" w14:textId="1727E4E2" w:rsidR="001D1C13" w:rsidRPr="008D2C8A" w:rsidRDefault="001D1C13" w:rsidP="0044720A">
      <w:pPr>
        <w:pStyle w:val="Akapitzlist"/>
        <w:widowControl w:val="0"/>
        <w:numPr>
          <w:ilvl w:val="0"/>
          <w:numId w:val="35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refinansowanie pożyczek, kredytów</w:t>
      </w:r>
      <w:r w:rsidR="00763355" w:rsidRPr="008D2C8A">
        <w:rPr>
          <w:rFonts w:cs="Calibri"/>
        </w:rPr>
        <w:t>,</w:t>
      </w:r>
      <w:r w:rsidRPr="008D2C8A">
        <w:rPr>
          <w:rFonts w:cs="Calibri"/>
        </w:rPr>
        <w:t xml:space="preserve"> leasing</w:t>
      </w:r>
      <w:r w:rsidR="00AC0D74" w:rsidRPr="008D2C8A">
        <w:rPr>
          <w:rFonts w:cs="Calibri"/>
        </w:rPr>
        <w:t>u</w:t>
      </w:r>
      <w:r w:rsidR="004B337C" w:rsidRPr="008D2C8A">
        <w:rPr>
          <w:rFonts w:cs="Calibri"/>
        </w:rPr>
        <w:t xml:space="preserve"> lub</w:t>
      </w:r>
      <w:r w:rsidR="00AC0D74" w:rsidRPr="008D2C8A">
        <w:rPr>
          <w:rFonts w:cs="Calibri"/>
        </w:rPr>
        <w:t xml:space="preserve"> innych form finansowania</w:t>
      </w:r>
      <w:r w:rsidR="00003DEB" w:rsidRPr="008D2C8A">
        <w:rPr>
          <w:rFonts w:cs="Calibri"/>
        </w:rPr>
        <w:t>, z których korzysta</w:t>
      </w:r>
      <w:r w:rsidR="00AC0D74" w:rsidRPr="008D2C8A">
        <w:rPr>
          <w:rFonts w:cs="Calibri"/>
        </w:rPr>
        <w:t xml:space="preserve"> </w:t>
      </w:r>
      <w:r w:rsidR="003D50CC" w:rsidRPr="008D2C8A">
        <w:rPr>
          <w:rFonts w:cs="Calibri"/>
        </w:rPr>
        <w:t>Pożyczkobiorca</w:t>
      </w:r>
      <w:r w:rsidRPr="008D2C8A">
        <w:rPr>
          <w:rFonts w:cs="Calibri"/>
        </w:rPr>
        <w:t>;</w:t>
      </w:r>
    </w:p>
    <w:p w14:paraId="07C4450F" w14:textId="77777777" w:rsidR="001D1C13" w:rsidRPr="008D2C8A" w:rsidRDefault="001D1C13" w:rsidP="0044720A">
      <w:pPr>
        <w:pStyle w:val="Akapitzlist"/>
        <w:widowControl w:val="0"/>
        <w:numPr>
          <w:ilvl w:val="0"/>
          <w:numId w:val="35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finansowanie zakupu aktywów finansowych przeznaczonych do obrotu</w:t>
      </w:r>
      <w:r w:rsidR="00B76DD1" w:rsidRPr="008D2C8A">
        <w:rPr>
          <w:rFonts w:cs="Calibri"/>
        </w:rPr>
        <w:t xml:space="preserve"> lub lokowania </w:t>
      </w:r>
      <w:r w:rsidR="005B64D9" w:rsidRPr="008D2C8A">
        <w:rPr>
          <w:rFonts w:cs="Calibri"/>
        </w:rPr>
        <w:t>kapitału</w:t>
      </w:r>
      <w:r w:rsidRPr="008D2C8A">
        <w:rPr>
          <w:rFonts w:cs="Calibri"/>
        </w:rPr>
        <w:t>;</w:t>
      </w:r>
    </w:p>
    <w:p w14:paraId="0F9A1529" w14:textId="2352970B" w:rsidR="001D1C13" w:rsidRPr="008D2C8A" w:rsidRDefault="001D1C13" w:rsidP="0044720A">
      <w:pPr>
        <w:pStyle w:val="Akapitzlist"/>
        <w:widowControl w:val="0"/>
        <w:numPr>
          <w:ilvl w:val="0"/>
          <w:numId w:val="35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finansowanie zakupu nieruchomości przeznaczonych do obrotu lub stanowiących lokatę kapitału;</w:t>
      </w:r>
    </w:p>
    <w:p w14:paraId="4314E0B8" w14:textId="31364B8D" w:rsidR="00366755" w:rsidRPr="008D2C8A" w:rsidRDefault="006558FF" w:rsidP="0044720A">
      <w:pPr>
        <w:widowControl w:val="0"/>
        <w:suppressAutoHyphens/>
        <w:spacing w:before="120" w:after="120"/>
        <w:ind w:left="567"/>
        <w:jc w:val="both"/>
        <w:rPr>
          <w:rFonts w:cs="Calibri"/>
        </w:rPr>
      </w:pPr>
      <w:r w:rsidRPr="008D2C8A">
        <w:rPr>
          <w:rFonts w:cs="Calibri"/>
        </w:rPr>
        <w:t>oraz inne wydatki niekwalifikowane wskazane w podrozdziale 2.3 Wytycznych dotyczących kwalifikowalności wydatków na lata 2021 – 2027.</w:t>
      </w:r>
    </w:p>
    <w:p w14:paraId="1EAB8BE9" w14:textId="77777777" w:rsidR="006E465E" w:rsidRPr="008D2C8A" w:rsidRDefault="006E465E" w:rsidP="0044720A">
      <w:pPr>
        <w:pStyle w:val="Akapitzlist"/>
        <w:widowControl w:val="0"/>
        <w:numPr>
          <w:ilvl w:val="0"/>
          <w:numId w:val="5"/>
        </w:numPr>
        <w:suppressAutoHyphens/>
        <w:spacing w:before="120" w:after="120"/>
        <w:ind w:left="426" w:hanging="426"/>
        <w:contextualSpacing w:val="0"/>
        <w:jc w:val="both"/>
        <w:rPr>
          <w:rFonts w:cs="Calibri"/>
        </w:rPr>
      </w:pPr>
      <w:r w:rsidRPr="008D2C8A">
        <w:rPr>
          <w:rFonts w:cs="Calibri"/>
        </w:rPr>
        <w:t>Finansowanie zakupu gruntów niezabudowanych i zabudowanych w ramach finansowanej inwestycji możliwe jest do wysokości 10 % środków wypłaconych na rzecz Pożyczkobiorcy.</w:t>
      </w:r>
    </w:p>
    <w:p w14:paraId="5ED3EC91" w14:textId="4151A771" w:rsidR="00ED4D35" w:rsidRPr="008D2C8A" w:rsidRDefault="001D1C13" w:rsidP="0044720A">
      <w:pPr>
        <w:pStyle w:val="Akapitzlist"/>
        <w:widowControl w:val="0"/>
        <w:numPr>
          <w:ilvl w:val="0"/>
          <w:numId w:val="5"/>
        </w:numPr>
        <w:suppressAutoHyphens/>
        <w:spacing w:before="120" w:after="120"/>
        <w:ind w:left="426" w:hanging="426"/>
        <w:contextualSpacing w:val="0"/>
        <w:jc w:val="both"/>
        <w:rPr>
          <w:rFonts w:cs="Calibri"/>
        </w:rPr>
      </w:pPr>
      <w:r w:rsidRPr="008D2C8A">
        <w:rPr>
          <w:rFonts w:cs="Calibri"/>
        </w:rPr>
        <w:t xml:space="preserve">Finansowanie kapitału obrotowego jest możliwe wyłącznie do wysokości </w:t>
      </w:r>
      <w:r w:rsidR="00C77C7E" w:rsidRPr="008D2C8A">
        <w:rPr>
          <w:rFonts w:cs="Calibri"/>
        </w:rPr>
        <w:t xml:space="preserve">50% </w:t>
      </w:r>
      <w:r w:rsidRPr="008D2C8A">
        <w:rPr>
          <w:rFonts w:cs="Calibri"/>
        </w:rPr>
        <w:t xml:space="preserve">Pożyczki, przy czym przeznaczenie kapitału obrotowego </w:t>
      </w:r>
      <w:r w:rsidR="00763355" w:rsidRPr="008D2C8A">
        <w:rPr>
          <w:rFonts w:cs="Calibri"/>
        </w:rPr>
        <w:t xml:space="preserve">musi być </w:t>
      </w:r>
      <w:r w:rsidRPr="008D2C8A">
        <w:rPr>
          <w:rFonts w:cs="Calibri"/>
        </w:rPr>
        <w:t xml:space="preserve">bezpośrednio związane z realizacją </w:t>
      </w:r>
      <w:r w:rsidR="00D153D6" w:rsidRPr="008D2C8A">
        <w:rPr>
          <w:rFonts w:cs="Calibri"/>
        </w:rPr>
        <w:t>i</w:t>
      </w:r>
      <w:r w:rsidR="00763355" w:rsidRPr="008D2C8A">
        <w:rPr>
          <w:rFonts w:cs="Calibri"/>
        </w:rPr>
        <w:t>nwestycji</w:t>
      </w:r>
      <w:r w:rsidR="00ED4D35" w:rsidRPr="008D2C8A">
        <w:rPr>
          <w:rFonts w:cs="Calibri"/>
        </w:rPr>
        <w:t>.</w:t>
      </w:r>
    </w:p>
    <w:p w14:paraId="62322726" w14:textId="2014E922" w:rsidR="00B62C63" w:rsidRPr="008D2C8A" w:rsidRDefault="00B62C63" w:rsidP="0044720A">
      <w:pPr>
        <w:pStyle w:val="Akapitzlist"/>
        <w:widowControl w:val="0"/>
        <w:numPr>
          <w:ilvl w:val="0"/>
          <w:numId w:val="5"/>
        </w:numPr>
        <w:suppressAutoHyphens/>
        <w:spacing w:before="120" w:after="120"/>
        <w:ind w:left="426" w:hanging="426"/>
        <w:contextualSpacing w:val="0"/>
        <w:jc w:val="both"/>
        <w:rPr>
          <w:rFonts w:cs="Calibri"/>
        </w:rPr>
      </w:pPr>
      <w:r w:rsidRPr="008D2C8A">
        <w:rPr>
          <w:rFonts w:cs="Calibri"/>
        </w:rPr>
        <w:t xml:space="preserve">Zakup pojazdów przeznaczonych do transportu drogowego może zostać sfinansowany </w:t>
      </w:r>
      <w:r w:rsidR="000B377E" w:rsidRPr="008D2C8A">
        <w:rPr>
          <w:rFonts w:cs="Calibri"/>
        </w:rPr>
        <w:t>z</w:t>
      </w:r>
      <w:r w:rsidR="00AB2CDC" w:rsidRPr="008D2C8A">
        <w:rPr>
          <w:rFonts w:cs="Calibri"/>
        </w:rPr>
        <w:t xml:space="preserve"> </w:t>
      </w:r>
      <w:r w:rsidRPr="008D2C8A">
        <w:rPr>
          <w:rFonts w:cs="Calibri"/>
        </w:rPr>
        <w:t xml:space="preserve">Pożyczki pod następującymi warunkami: </w:t>
      </w:r>
    </w:p>
    <w:p w14:paraId="6367A76B" w14:textId="199087BA" w:rsidR="006B0C0D" w:rsidRPr="008D2C8A" w:rsidRDefault="006B0C0D" w:rsidP="0044720A">
      <w:pPr>
        <w:pStyle w:val="Akapitzlist"/>
        <w:widowControl w:val="0"/>
        <w:numPr>
          <w:ilvl w:val="0"/>
          <w:numId w:val="36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 xml:space="preserve">środek transportu spełniający warunki dla ekologicznie czystego pojazdu, określone w art. 4 pkt 4 lit. a) Dyrektywy Parlamentu Europejskiego i Rady 2009/33/WE z dnia 23 kwietnia 2009 r. </w:t>
      </w:r>
      <w:r w:rsidR="00EA4AC1">
        <w:rPr>
          <w:rFonts w:cs="Calibri"/>
        </w:rPr>
        <w:br/>
      </w:r>
      <w:r w:rsidRPr="008D2C8A">
        <w:rPr>
          <w:rFonts w:cs="Calibri"/>
        </w:rPr>
        <w:t>w sprawie promowania ekologicznie czystych pojazdów transportu drogowego w celu wsparcia mobilności niskoemisyjnej (</w:t>
      </w:r>
      <w:hyperlink r:id="rId10" w:history="1">
        <w:r w:rsidRPr="008D2C8A">
          <w:rPr>
            <w:rStyle w:val="Hipercze"/>
            <w:rFonts w:cs="Calibri"/>
            <w:color w:val="auto"/>
          </w:rPr>
          <w:t>Dz.U. L 120 z 15.5.2009</w:t>
        </w:r>
      </w:hyperlink>
      <w:r w:rsidRPr="008D2C8A">
        <w:rPr>
          <w:rFonts w:cs="Calibri"/>
        </w:rPr>
        <w:t xml:space="preserve">), </w:t>
      </w:r>
    </w:p>
    <w:p w14:paraId="3914BAB1" w14:textId="70CB39C1" w:rsidR="00B62C63" w:rsidRPr="008D2C8A" w:rsidRDefault="00B62C63" w:rsidP="0044720A">
      <w:pPr>
        <w:pStyle w:val="Akapitzlist"/>
        <w:widowControl w:val="0"/>
        <w:numPr>
          <w:ilvl w:val="0"/>
          <w:numId w:val="36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 xml:space="preserve">środek transportu fabrycznie nowy lub używany (nie więcej niż 5-cio letni), tj.: samochód </w:t>
      </w:r>
      <w:r w:rsidR="006B0C0D" w:rsidRPr="008D2C8A">
        <w:rPr>
          <w:rFonts w:cs="Calibri"/>
        </w:rPr>
        <w:t>z </w:t>
      </w:r>
      <w:r w:rsidRPr="008D2C8A">
        <w:rPr>
          <w:rFonts w:cs="Calibri"/>
        </w:rPr>
        <w:t xml:space="preserve">dopuszczalną masą całkowitą do 3,5 tony, przeznaczony do przewozu ładunków lub osób, </w:t>
      </w:r>
      <w:r w:rsidRPr="008D2C8A">
        <w:rPr>
          <w:rFonts w:cs="Calibri"/>
        </w:rPr>
        <w:br/>
        <w:t xml:space="preserve">w związku z prowadzaniem działalności turystycznej, </w:t>
      </w:r>
    </w:p>
    <w:p w14:paraId="32E51B86" w14:textId="3EAE307C" w:rsidR="00B62C63" w:rsidRPr="008D2C8A" w:rsidRDefault="00B62C63" w:rsidP="0044720A">
      <w:pPr>
        <w:pStyle w:val="Akapitzlist"/>
        <w:widowControl w:val="0"/>
        <w:numPr>
          <w:ilvl w:val="0"/>
          <w:numId w:val="36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przez M</w:t>
      </w:r>
      <w:r w:rsidR="00BA1ABD" w:rsidRPr="008D2C8A">
        <w:rPr>
          <w:rFonts w:cs="Calibri"/>
        </w:rPr>
        <w:t>Ś</w:t>
      </w:r>
      <w:r w:rsidRPr="008D2C8A">
        <w:rPr>
          <w:rFonts w:cs="Calibri"/>
        </w:rPr>
        <w:t xml:space="preserve">P prowadzące działalność gospodarczą w Polsce Wschodniej, oraz posiadające </w:t>
      </w:r>
      <w:r w:rsidRPr="008D2C8A">
        <w:rPr>
          <w:rFonts w:cs="Calibri"/>
        </w:rPr>
        <w:br/>
        <w:t xml:space="preserve">na terenie Polski Wschodniej: siedzibę lub oddział (zgodnie z wpisem do rejestru przedsiębiorców w KRS) albo stałe lub dodatkowe stałe miejsce wykonywania działalności gospodarczej (zgodnie </w:t>
      </w:r>
      <w:r w:rsidR="00EA4AC1">
        <w:rPr>
          <w:rFonts w:cs="Calibri"/>
        </w:rPr>
        <w:br/>
      </w:r>
      <w:r w:rsidRPr="008D2C8A">
        <w:rPr>
          <w:rFonts w:cs="Calibri"/>
        </w:rPr>
        <w:t>z wpisem do CEIDG). W przypadku, gdy przedsiębiorca nie posiada ujawnionego w CEIDG stałego lub dodatkowego stałego miejsca prowadzenia działalności gospodarczej, taki przedsiębiorca może otrzymać wsparcie na zakup pojazdu do transportu drogowego, pod warunkiem, że posiada adres zamieszkania</w:t>
      </w:r>
      <w:r w:rsidR="006F0A36" w:rsidRPr="008D2C8A">
        <w:rPr>
          <w:rFonts w:cs="Calibri"/>
        </w:rPr>
        <w:t xml:space="preserve"> na terenie Polski Wschodniej, </w:t>
      </w:r>
      <w:r w:rsidRPr="008D2C8A">
        <w:rPr>
          <w:rFonts w:cs="Calibri"/>
        </w:rPr>
        <w:t>co zostanie potwierdzone przez Pośrednika Finansowego na podstawie wiarygodnych danych pochodzących np. ze składanych deklaracji do Urzędu Skarbowego, Zakładu Ubezpieczeń Społecznych, Kasy Rolniczego Ubezpieczenia Społecznego,</w:t>
      </w:r>
      <w:r w:rsidR="006F0A36" w:rsidRPr="008D2C8A">
        <w:rPr>
          <w:rFonts w:cs="Calibri"/>
        </w:rPr>
        <w:t xml:space="preserve"> lub wniosku o dokonanie wpisu </w:t>
      </w:r>
      <w:r w:rsidRPr="008D2C8A">
        <w:rPr>
          <w:rFonts w:cs="Calibri"/>
        </w:rPr>
        <w:t>do CEIDG,</w:t>
      </w:r>
    </w:p>
    <w:p w14:paraId="1A5D9FDA" w14:textId="77777777" w:rsidR="00B62C63" w:rsidRPr="008D2C8A" w:rsidRDefault="00B62C63" w:rsidP="0044720A">
      <w:pPr>
        <w:pStyle w:val="Akapitzlist"/>
        <w:widowControl w:val="0"/>
        <w:numPr>
          <w:ilvl w:val="0"/>
          <w:numId w:val="36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 xml:space="preserve">MŚP nie prowadzi działalności zarobkowej w zakresie drogowego transportu towarów, </w:t>
      </w:r>
      <w:r w:rsidRPr="008D2C8A">
        <w:rPr>
          <w:rFonts w:cs="Calibri"/>
        </w:rPr>
        <w:br/>
      </w:r>
      <w:r w:rsidRPr="008D2C8A">
        <w:rPr>
          <w:rFonts w:cs="Calibri"/>
        </w:rPr>
        <w:lastRenderedPageBreak/>
        <w:t>a nabywany pojazd nie jest przeznaczony do transportu drogowego towarów.</w:t>
      </w:r>
    </w:p>
    <w:p w14:paraId="75475D34" w14:textId="644AB74D" w:rsidR="00465AF8" w:rsidRPr="008D2C8A" w:rsidRDefault="00C61F94" w:rsidP="0044720A">
      <w:pPr>
        <w:pStyle w:val="Akapitzlist"/>
        <w:widowControl w:val="0"/>
        <w:numPr>
          <w:ilvl w:val="0"/>
          <w:numId w:val="5"/>
        </w:numPr>
        <w:suppressAutoHyphens/>
        <w:spacing w:before="120" w:after="120"/>
        <w:ind w:left="426" w:hanging="426"/>
        <w:contextualSpacing w:val="0"/>
        <w:jc w:val="both"/>
        <w:rPr>
          <w:rFonts w:cs="Calibri"/>
        </w:rPr>
      </w:pPr>
      <w:bookmarkStart w:id="1" w:name="_Hlk142298767"/>
      <w:bookmarkStart w:id="2" w:name="_Hlk142298804"/>
      <w:r w:rsidRPr="008D2C8A">
        <w:rPr>
          <w:rFonts w:cs="Calibri"/>
        </w:rPr>
        <w:t xml:space="preserve">Wydatkując środki Pożyczki </w:t>
      </w:r>
      <w:r w:rsidR="003375A1" w:rsidRPr="008D2C8A">
        <w:rPr>
          <w:rFonts w:cs="Calibri"/>
        </w:rPr>
        <w:t>Pożyczkobiorca</w:t>
      </w:r>
      <w:r w:rsidRPr="008D2C8A">
        <w:rPr>
          <w:rFonts w:cs="Calibri"/>
        </w:rPr>
        <w:t xml:space="preserve"> nie może doprowadzić do wystąpienia przypadku podwójnego – całkowitego albo częściowego – </w:t>
      </w:r>
      <w:r w:rsidR="00226B92" w:rsidRPr="008D2C8A">
        <w:rPr>
          <w:rFonts w:cs="Calibri"/>
        </w:rPr>
        <w:t>finansowania wydatków w ramach różnych funduszy lub instrumentów wsparcia Unii Europejskiej albo z tego samego funduszu polityki spójności</w:t>
      </w:r>
      <w:bookmarkEnd w:id="1"/>
      <w:r w:rsidR="00163152" w:rsidRPr="008D2C8A">
        <w:rPr>
          <w:rFonts w:cs="Calibri"/>
        </w:rPr>
        <w:t>.</w:t>
      </w:r>
    </w:p>
    <w:bookmarkEnd w:id="2"/>
    <w:p w14:paraId="18575C4D" w14:textId="1BB4997F" w:rsidR="001465A3" w:rsidRPr="008D2C8A" w:rsidRDefault="0067784B" w:rsidP="0044720A">
      <w:pPr>
        <w:pStyle w:val="Akapitzlist"/>
        <w:widowControl w:val="0"/>
        <w:numPr>
          <w:ilvl w:val="0"/>
          <w:numId w:val="4"/>
        </w:numPr>
        <w:suppressAutoHyphens/>
        <w:spacing w:before="120" w:after="120"/>
        <w:ind w:left="425" w:hanging="425"/>
        <w:contextualSpacing w:val="0"/>
        <w:jc w:val="both"/>
        <w:rPr>
          <w:rFonts w:cs="Calibri"/>
          <w:b/>
        </w:rPr>
      </w:pPr>
      <w:r w:rsidRPr="008D2C8A">
        <w:rPr>
          <w:rFonts w:cs="Calibri"/>
          <w:b/>
        </w:rPr>
        <w:t>Podstawowe</w:t>
      </w:r>
      <w:r w:rsidR="00A536FD" w:rsidRPr="008D2C8A">
        <w:rPr>
          <w:rFonts w:cs="Calibri"/>
          <w:b/>
        </w:rPr>
        <w:t xml:space="preserve"> </w:t>
      </w:r>
      <w:r w:rsidR="005F3EAE" w:rsidRPr="008D2C8A">
        <w:rPr>
          <w:rFonts w:cs="Calibri"/>
          <w:b/>
        </w:rPr>
        <w:t xml:space="preserve">zasady </w:t>
      </w:r>
      <w:r w:rsidR="001465A3" w:rsidRPr="008D2C8A">
        <w:rPr>
          <w:rFonts w:cs="Calibri"/>
          <w:b/>
        </w:rPr>
        <w:t xml:space="preserve">udzielania </w:t>
      </w:r>
      <w:r w:rsidR="00EE5106" w:rsidRPr="008D2C8A">
        <w:rPr>
          <w:rFonts w:cs="Calibri"/>
          <w:b/>
        </w:rPr>
        <w:t>Pożyczki</w:t>
      </w:r>
    </w:p>
    <w:p w14:paraId="5F737B24" w14:textId="0FD4682F" w:rsidR="001465A3" w:rsidRPr="008D2C8A" w:rsidRDefault="001465A3" w:rsidP="0044720A">
      <w:pPr>
        <w:pStyle w:val="Akapitzlist"/>
        <w:widowControl w:val="0"/>
        <w:numPr>
          <w:ilvl w:val="0"/>
          <w:numId w:val="3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 xml:space="preserve">Udzielenie </w:t>
      </w:r>
      <w:r w:rsidR="00EE5106" w:rsidRPr="008D2C8A">
        <w:rPr>
          <w:rFonts w:cs="Calibri"/>
        </w:rPr>
        <w:t>Pożyczki</w:t>
      </w:r>
      <w:r w:rsidRPr="008D2C8A">
        <w:rPr>
          <w:rFonts w:cs="Calibri"/>
        </w:rPr>
        <w:t xml:space="preserve"> nie może być uzależnione od zawarcia przez </w:t>
      </w:r>
      <w:r w:rsidR="000A59AA" w:rsidRPr="008D2C8A">
        <w:rPr>
          <w:rFonts w:cs="Calibri"/>
        </w:rPr>
        <w:t>Pożyczkobiorcę</w:t>
      </w:r>
      <w:r w:rsidRPr="008D2C8A">
        <w:rPr>
          <w:rFonts w:cs="Calibri"/>
        </w:rPr>
        <w:t xml:space="preserve"> </w:t>
      </w:r>
      <w:r w:rsidR="00A94461" w:rsidRPr="008D2C8A">
        <w:rPr>
          <w:rFonts w:cs="Calibri"/>
        </w:rPr>
        <w:t xml:space="preserve">z </w:t>
      </w:r>
      <w:r w:rsidR="0091243B" w:rsidRPr="0091243B">
        <w:rPr>
          <w:rFonts w:cs="Calibri"/>
        </w:rPr>
        <w:t>Świętokrzyski</w:t>
      </w:r>
      <w:r w:rsidR="0091243B">
        <w:rPr>
          <w:rFonts w:cs="Calibri"/>
        </w:rPr>
        <w:t>m</w:t>
      </w:r>
      <w:r w:rsidR="0091243B" w:rsidRPr="0091243B">
        <w:rPr>
          <w:rFonts w:cs="Calibri"/>
        </w:rPr>
        <w:t xml:space="preserve"> Fundusz</w:t>
      </w:r>
      <w:r w:rsidR="0091243B">
        <w:rPr>
          <w:rFonts w:cs="Calibri"/>
        </w:rPr>
        <w:t>em</w:t>
      </w:r>
      <w:r w:rsidR="0091243B" w:rsidRPr="0091243B">
        <w:rPr>
          <w:rFonts w:cs="Calibri"/>
        </w:rPr>
        <w:t xml:space="preserve"> Rozwoju Sp. z o.o.</w:t>
      </w:r>
      <w:r w:rsidR="0091243B" w:rsidRPr="0091243B" w:rsidDel="001442D3">
        <w:rPr>
          <w:rFonts w:cs="Calibri"/>
        </w:rPr>
        <w:t xml:space="preserve"> </w:t>
      </w:r>
      <w:r w:rsidR="00621514" w:rsidRPr="008D2C8A">
        <w:rPr>
          <w:rFonts w:cs="Calibri"/>
        </w:rPr>
        <w:t xml:space="preserve"> ani z</w:t>
      </w:r>
      <w:r w:rsidR="00A94461" w:rsidRPr="008D2C8A">
        <w:rPr>
          <w:rFonts w:cs="Calibri"/>
        </w:rPr>
        <w:t xml:space="preserve"> </w:t>
      </w:r>
      <w:r w:rsidR="00121F2F" w:rsidRPr="008D2C8A">
        <w:rPr>
          <w:rFonts w:cs="Calibri"/>
        </w:rPr>
        <w:t xml:space="preserve">podmiotem partnerskim lub powiązanym w stosunku do </w:t>
      </w:r>
      <w:r w:rsidR="0091243B">
        <w:rPr>
          <w:rFonts w:eastAsia="Times New Roman" w:cs="Calibri"/>
          <w:iCs/>
          <w:lang w:eastAsia="pl-PL"/>
        </w:rPr>
        <w:t>Świętokrzyskiego Funduszu Rozwoju Sp. z o.o.</w:t>
      </w:r>
      <w:r w:rsidR="0091243B" w:rsidRPr="008D2C8A" w:rsidDel="001442D3">
        <w:rPr>
          <w:rFonts w:cs="Calibri"/>
        </w:rPr>
        <w:t xml:space="preserve"> </w:t>
      </w:r>
      <w:r w:rsidR="00121F2F" w:rsidRPr="008D2C8A">
        <w:rPr>
          <w:rFonts w:cs="Calibri"/>
        </w:rPr>
        <w:t xml:space="preserve"> </w:t>
      </w:r>
      <w:r w:rsidRPr="008D2C8A">
        <w:rPr>
          <w:rFonts w:cs="Calibri"/>
        </w:rPr>
        <w:t>dodatkowych umów</w:t>
      </w:r>
      <w:r w:rsidR="00121F2F" w:rsidRPr="008D2C8A">
        <w:rPr>
          <w:rFonts w:cs="Calibri"/>
        </w:rPr>
        <w:t xml:space="preserve">, </w:t>
      </w:r>
      <w:r w:rsidRPr="008D2C8A">
        <w:rPr>
          <w:rFonts w:cs="Calibri"/>
        </w:rPr>
        <w:t xml:space="preserve">w szczególności </w:t>
      </w:r>
      <w:r w:rsidR="00121F2F" w:rsidRPr="008D2C8A">
        <w:rPr>
          <w:rFonts w:cs="Calibri"/>
        </w:rPr>
        <w:t xml:space="preserve">na </w:t>
      </w:r>
      <w:r w:rsidRPr="008D2C8A">
        <w:rPr>
          <w:rFonts w:cs="Calibri"/>
        </w:rPr>
        <w:t>zakup dodatkowych usług</w:t>
      </w:r>
      <w:r w:rsidR="00EE07F6" w:rsidRPr="008D2C8A">
        <w:rPr>
          <w:rFonts w:cs="Calibri"/>
        </w:rPr>
        <w:t xml:space="preserve">, </w:t>
      </w:r>
      <w:r w:rsidR="002612FF" w:rsidRPr="008D2C8A">
        <w:rPr>
          <w:rFonts w:cs="Calibri"/>
        </w:rPr>
        <w:t>produktów finansowych lub ubezpieczeniowych</w:t>
      </w:r>
      <w:r w:rsidR="00121F2F" w:rsidRPr="008D2C8A">
        <w:rPr>
          <w:rFonts w:cs="Calibri"/>
        </w:rPr>
        <w:t>.</w:t>
      </w:r>
      <w:r w:rsidRPr="008D2C8A">
        <w:rPr>
          <w:rFonts w:cs="Calibri"/>
        </w:rPr>
        <w:t xml:space="preserve"> </w:t>
      </w:r>
      <w:r w:rsidR="00121F2F" w:rsidRPr="008D2C8A">
        <w:rPr>
          <w:rFonts w:cs="Calibri"/>
        </w:rPr>
        <w:t>P</w:t>
      </w:r>
      <w:r w:rsidRPr="008D2C8A">
        <w:rPr>
          <w:rFonts w:cs="Calibri"/>
        </w:rPr>
        <w:t xml:space="preserve">owyższe nie dotyczy </w:t>
      </w:r>
      <w:r w:rsidR="003408A3" w:rsidRPr="008D2C8A">
        <w:rPr>
          <w:rFonts w:cs="Calibri"/>
        </w:rPr>
        <w:t xml:space="preserve">powszechnie występujących na rynku oraz standardowo stosowanych przez </w:t>
      </w:r>
      <w:r w:rsidR="0091243B" w:rsidRPr="0091243B">
        <w:rPr>
          <w:rFonts w:cs="Calibri"/>
        </w:rPr>
        <w:t>Świętokrzyski Fundusz Rozwoju Sp. z o.o.</w:t>
      </w:r>
      <w:r w:rsidR="0091243B" w:rsidRPr="0091243B" w:rsidDel="001442D3">
        <w:rPr>
          <w:rFonts w:cs="Calibri"/>
        </w:rPr>
        <w:t xml:space="preserve"> </w:t>
      </w:r>
      <w:r w:rsidR="003D3B06">
        <w:rPr>
          <w:rFonts w:cs="Calibri"/>
        </w:rPr>
        <w:t xml:space="preserve"> </w:t>
      </w:r>
      <w:r w:rsidRPr="008D2C8A">
        <w:rPr>
          <w:rFonts w:cs="Calibri"/>
        </w:rPr>
        <w:t>zabezpieczeń</w:t>
      </w:r>
      <w:r w:rsidR="005370C6" w:rsidRPr="008D2C8A">
        <w:rPr>
          <w:rFonts w:cs="Calibri"/>
        </w:rPr>
        <w:t>,</w:t>
      </w:r>
      <w:r w:rsidRPr="008D2C8A">
        <w:rPr>
          <w:rFonts w:cs="Calibri"/>
        </w:rPr>
        <w:t xml:space="preserve"> ustanawianych przez </w:t>
      </w:r>
      <w:r w:rsidR="000A59AA" w:rsidRPr="008D2C8A">
        <w:rPr>
          <w:rFonts w:cs="Calibri"/>
        </w:rPr>
        <w:t>Pożyczkobiorcę</w:t>
      </w:r>
      <w:r w:rsidRPr="008D2C8A">
        <w:rPr>
          <w:rFonts w:cs="Calibri"/>
        </w:rPr>
        <w:t xml:space="preserve"> na rzecz </w:t>
      </w:r>
      <w:r w:rsidR="0091243B" w:rsidRPr="0091243B">
        <w:rPr>
          <w:rFonts w:cs="Calibri"/>
        </w:rPr>
        <w:t>Świętokrzyski</w:t>
      </w:r>
      <w:r w:rsidR="0091243B">
        <w:rPr>
          <w:rFonts w:cs="Calibri"/>
        </w:rPr>
        <w:t>ego</w:t>
      </w:r>
      <w:r w:rsidR="0091243B" w:rsidRPr="0091243B">
        <w:rPr>
          <w:rFonts w:cs="Calibri"/>
        </w:rPr>
        <w:t xml:space="preserve"> Fundusz</w:t>
      </w:r>
      <w:r w:rsidR="0091243B">
        <w:rPr>
          <w:rFonts w:cs="Calibri"/>
        </w:rPr>
        <w:t>u</w:t>
      </w:r>
      <w:r w:rsidR="0091243B" w:rsidRPr="0091243B">
        <w:rPr>
          <w:rFonts w:cs="Calibri"/>
        </w:rPr>
        <w:t xml:space="preserve"> Rozwoju Sp. z o.o.</w:t>
      </w:r>
      <w:r w:rsidR="00EA5389" w:rsidRPr="00EA5389">
        <w:rPr>
          <w:rFonts w:cs="Calibri"/>
        </w:rPr>
        <w:t xml:space="preserve"> </w:t>
      </w:r>
      <w:r w:rsidRPr="008D2C8A">
        <w:rPr>
          <w:rFonts w:cs="Calibri"/>
        </w:rPr>
        <w:t xml:space="preserve"> w związku z zawieraną </w:t>
      </w:r>
      <w:r w:rsidR="001848BF" w:rsidRPr="008D2C8A">
        <w:rPr>
          <w:rFonts w:cs="Calibri"/>
        </w:rPr>
        <w:t>umową pożyczki</w:t>
      </w:r>
      <w:r w:rsidR="00B904C3" w:rsidRPr="008D2C8A">
        <w:rPr>
          <w:rFonts w:cs="Calibri"/>
        </w:rPr>
        <w:t>, z zastrzeżeniem, iż w</w:t>
      </w:r>
      <w:r w:rsidR="003D48A9" w:rsidRPr="008D2C8A">
        <w:rPr>
          <w:rFonts w:cs="Calibri"/>
        </w:rPr>
        <w:t> </w:t>
      </w:r>
      <w:r w:rsidR="00B904C3" w:rsidRPr="008D2C8A">
        <w:rPr>
          <w:rFonts w:cs="Calibri"/>
        </w:rPr>
        <w:t xml:space="preserve">przypadku zabezpieczenia takiego jak cesja praw z polisy ubezpieczeniowej </w:t>
      </w:r>
      <w:r w:rsidR="001848BF" w:rsidRPr="008D2C8A">
        <w:rPr>
          <w:rFonts w:cs="Calibri"/>
        </w:rPr>
        <w:t>Pożyczkobiorca</w:t>
      </w:r>
      <w:r w:rsidR="00B904C3" w:rsidRPr="008D2C8A">
        <w:rPr>
          <w:rFonts w:cs="Calibri"/>
        </w:rPr>
        <w:t xml:space="preserve"> ma możliwość wyboru oferty spośród ubezpieczycieli dostępnych na rynku.</w:t>
      </w:r>
    </w:p>
    <w:p w14:paraId="0EA0E5C4" w14:textId="66701151" w:rsidR="00736A56" w:rsidRPr="008D2C8A" w:rsidRDefault="009470A1" w:rsidP="0044720A">
      <w:pPr>
        <w:pStyle w:val="Akapitzlist"/>
        <w:widowControl w:val="0"/>
        <w:numPr>
          <w:ilvl w:val="0"/>
          <w:numId w:val="3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T</w:t>
      </w:r>
      <w:r w:rsidR="00CF6C03" w:rsidRPr="008D2C8A">
        <w:rPr>
          <w:rFonts w:cs="Calibri"/>
        </w:rPr>
        <w:t xml:space="preserve">ermin na wypłatę całkowitej kwoty Pożyczki wynosi </w:t>
      </w:r>
      <w:r w:rsidR="00870A0C" w:rsidRPr="008D2C8A">
        <w:rPr>
          <w:rFonts w:cs="Calibri"/>
        </w:rPr>
        <w:t>90</w:t>
      </w:r>
      <w:r w:rsidR="000062AD" w:rsidRPr="008D2C8A">
        <w:rPr>
          <w:rFonts w:cs="Calibri"/>
        </w:rPr>
        <w:t xml:space="preserve"> </w:t>
      </w:r>
      <w:r w:rsidR="00CF6C03" w:rsidRPr="008D2C8A">
        <w:rPr>
          <w:rFonts w:cs="Calibri"/>
        </w:rPr>
        <w:t>dni</w:t>
      </w:r>
      <w:r w:rsidR="00C52CEE" w:rsidRPr="008D2C8A">
        <w:rPr>
          <w:rFonts w:cs="Calibri"/>
        </w:rPr>
        <w:t xml:space="preserve"> kalendarzowych</w:t>
      </w:r>
      <w:r w:rsidR="00CF6C03" w:rsidRPr="008D2C8A">
        <w:rPr>
          <w:rFonts w:cs="Calibri"/>
        </w:rPr>
        <w:t xml:space="preserve"> od dnia zawarcia </w:t>
      </w:r>
      <w:r w:rsidR="005D365C" w:rsidRPr="008D2C8A">
        <w:rPr>
          <w:rFonts w:cs="Calibri"/>
        </w:rPr>
        <w:t>umowy pożyczki</w:t>
      </w:r>
      <w:r w:rsidR="00253427" w:rsidRPr="008D2C8A">
        <w:rPr>
          <w:rFonts w:cs="Calibri"/>
        </w:rPr>
        <w:t xml:space="preserve">. </w:t>
      </w:r>
      <w:r w:rsidR="00F951FE" w:rsidRPr="008D2C8A">
        <w:rPr>
          <w:rFonts w:cs="Calibri"/>
        </w:rPr>
        <w:t>W</w:t>
      </w:r>
      <w:r w:rsidR="00C52CEE" w:rsidRPr="008D2C8A">
        <w:rPr>
          <w:rFonts w:cs="Calibri"/>
        </w:rPr>
        <w:t xml:space="preserve">ydatkowanie </w:t>
      </w:r>
      <w:r w:rsidR="001465A3" w:rsidRPr="008D2C8A">
        <w:rPr>
          <w:rFonts w:cs="Calibri"/>
        </w:rPr>
        <w:t xml:space="preserve">środków </w:t>
      </w:r>
      <w:r w:rsidR="00EE5106" w:rsidRPr="008D2C8A">
        <w:rPr>
          <w:rFonts w:cs="Calibri"/>
        </w:rPr>
        <w:t>Pożyczki</w:t>
      </w:r>
      <w:r w:rsidR="00A13741" w:rsidRPr="008D2C8A">
        <w:rPr>
          <w:rFonts w:cs="Calibri"/>
        </w:rPr>
        <w:t xml:space="preserve"> </w:t>
      </w:r>
      <w:r w:rsidR="001465A3" w:rsidRPr="008D2C8A">
        <w:rPr>
          <w:rFonts w:cs="Calibri"/>
        </w:rPr>
        <w:t>musi zostać należycie udokumentowane</w:t>
      </w:r>
      <w:r w:rsidR="00854DE4" w:rsidRPr="008D2C8A">
        <w:rPr>
          <w:rFonts w:cs="Calibri"/>
        </w:rPr>
        <w:t xml:space="preserve"> w</w:t>
      </w:r>
      <w:r w:rsidR="008C7EA7" w:rsidRPr="008D2C8A">
        <w:rPr>
          <w:rFonts w:cs="Calibri"/>
        </w:rPr>
        <w:t> </w:t>
      </w:r>
      <w:r w:rsidR="00854DE4" w:rsidRPr="008D2C8A">
        <w:rPr>
          <w:rFonts w:cs="Calibri"/>
        </w:rPr>
        <w:t xml:space="preserve">terminie do </w:t>
      </w:r>
      <w:r w:rsidR="00C34D50" w:rsidRPr="008D2C8A">
        <w:rPr>
          <w:rFonts w:cs="Calibri"/>
        </w:rPr>
        <w:t xml:space="preserve">180 </w:t>
      </w:r>
      <w:r w:rsidR="00672E84" w:rsidRPr="008D2C8A">
        <w:rPr>
          <w:rFonts w:cs="Calibri"/>
        </w:rPr>
        <w:t xml:space="preserve">dni od </w:t>
      </w:r>
      <w:r w:rsidR="00580A00" w:rsidRPr="008D2C8A">
        <w:rPr>
          <w:rFonts w:cs="Calibri"/>
        </w:rPr>
        <w:t xml:space="preserve">dnia wypłaty </w:t>
      </w:r>
      <w:r w:rsidR="005E3A0E" w:rsidRPr="008D2C8A">
        <w:rPr>
          <w:rFonts w:cs="Calibri"/>
        </w:rPr>
        <w:t>całkowitej</w:t>
      </w:r>
      <w:r w:rsidR="00580A00" w:rsidRPr="008D2C8A">
        <w:rPr>
          <w:rFonts w:cs="Calibri"/>
        </w:rPr>
        <w:t xml:space="preserve"> kwoty Pożyczki</w:t>
      </w:r>
      <w:r w:rsidR="00CF6C03" w:rsidRPr="008D2C8A">
        <w:rPr>
          <w:rFonts w:cs="Calibri"/>
        </w:rPr>
        <w:t>,</w:t>
      </w:r>
      <w:r w:rsidR="00D71157" w:rsidRPr="008D2C8A">
        <w:rPr>
          <w:rFonts w:cs="Calibri"/>
        </w:rPr>
        <w:t xml:space="preserve"> </w:t>
      </w:r>
      <w:r w:rsidR="00CF6C03" w:rsidRPr="008D2C8A">
        <w:rPr>
          <w:rFonts w:cs="Calibri"/>
        </w:rPr>
        <w:t xml:space="preserve">przy czym termin </w:t>
      </w:r>
      <w:r w:rsidR="00400805" w:rsidRPr="008D2C8A">
        <w:rPr>
          <w:rFonts w:cs="Calibri"/>
        </w:rPr>
        <w:t>ten</w:t>
      </w:r>
      <w:r w:rsidR="00A950ED" w:rsidRPr="008D2C8A">
        <w:rPr>
          <w:rFonts w:cs="Calibri"/>
        </w:rPr>
        <w:t xml:space="preserve"> określa datę</w:t>
      </w:r>
      <w:r w:rsidR="00400805" w:rsidRPr="008D2C8A">
        <w:rPr>
          <w:rFonts w:cs="Calibri"/>
        </w:rPr>
        <w:t xml:space="preserve"> końcową</w:t>
      </w:r>
      <w:r w:rsidR="0058555C" w:rsidRPr="008D2C8A">
        <w:rPr>
          <w:rFonts w:cs="Calibri"/>
        </w:rPr>
        <w:t>,</w:t>
      </w:r>
      <w:r w:rsidR="00A950ED" w:rsidRPr="008D2C8A">
        <w:rPr>
          <w:rFonts w:cs="Calibri"/>
        </w:rPr>
        <w:t xml:space="preserve"> do której mogą być wystawiane dokumenty potwierdzające wydatkowanie środków</w:t>
      </w:r>
      <w:r w:rsidR="001465A3" w:rsidRPr="008D2C8A">
        <w:rPr>
          <w:rFonts w:cs="Calibri"/>
        </w:rPr>
        <w:t>.</w:t>
      </w:r>
      <w:r w:rsidR="00551C05" w:rsidRPr="008D2C8A">
        <w:rPr>
          <w:rFonts w:cs="Calibri"/>
        </w:rPr>
        <w:t xml:space="preserve"> </w:t>
      </w:r>
      <w:r w:rsidR="00114FDE" w:rsidRPr="008D2C8A">
        <w:rPr>
          <w:rFonts w:cs="Calibri"/>
        </w:rPr>
        <w:t xml:space="preserve">W wyjątkowych </w:t>
      </w:r>
      <w:r w:rsidR="00EA4AC1">
        <w:rPr>
          <w:rFonts w:cs="Calibri"/>
        </w:rPr>
        <w:br/>
      </w:r>
      <w:r w:rsidR="00114FDE" w:rsidRPr="008D2C8A">
        <w:rPr>
          <w:rFonts w:cs="Calibri"/>
        </w:rPr>
        <w:t xml:space="preserve">i odpowiednio </w:t>
      </w:r>
      <w:r w:rsidR="00551C05" w:rsidRPr="008D2C8A">
        <w:rPr>
          <w:rFonts w:cs="Calibri"/>
        </w:rPr>
        <w:t>uzasadnionych przypadkach</w:t>
      </w:r>
      <w:r w:rsidR="0067303B" w:rsidRPr="008D2C8A">
        <w:rPr>
          <w:rFonts w:cs="Calibri"/>
        </w:rPr>
        <w:t>,</w:t>
      </w:r>
      <w:r w:rsidR="003F6DBA" w:rsidRPr="008D2C8A">
        <w:rPr>
          <w:rFonts w:cs="Calibri"/>
        </w:rPr>
        <w:t xml:space="preserve"> w tym biorąc pod uwagę charakter </w:t>
      </w:r>
      <w:r w:rsidR="00203815" w:rsidRPr="008D2C8A">
        <w:rPr>
          <w:rFonts w:cs="Calibri"/>
        </w:rPr>
        <w:t>i</w:t>
      </w:r>
      <w:r w:rsidR="003F6DBA" w:rsidRPr="008D2C8A">
        <w:rPr>
          <w:rFonts w:cs="Calibri"/>
        </w:rPr>
        <w:t>nwestycji,</w:t>
      </w:r>
      <w:r w:rsidR="00551C05" w:rsidRPr="008D2C8A">
        <w:rPr>
          <w:rFonts w:cs="Calibri"/>
        </w:rPr>
        <w:t xml:space="preserve"> na wniosek </w:t>
      </w:r>
      <w:r w:rsidR="00203815" w:rsidRPr="008D2C8A">
        <w:rPr>
          <w:rFonts w:cs="Calibri"/>
        </w:rPr>
        <w:t>Pożyczkobiorcy</w:t>
      </w:r>
      <w:r w:rsidR="00400805" w:rsidRPr="008D2C8A">
        <w:rPr>
          <w:rFonts w:cs="Calibri"/>
        </w:rPr>
        <w:t>,</w:t>
      </w:r>
      <w:r w:rsidR="00551C05" w:rsidRPr="008D2C8A">
        <w:rPr>
          <w:rFonts w:cs="Calibri"/>
        </w:rPr>
        <w:t xml:space="preserve"> </w:t>
      </w:r>
      <w:r w:rsidR="0091243B" w:rsidRPr="0091243B">
        <w:rPr>
          <w:rFonts w:cs="Calibri"/>
        </w:rPr>
        <w:t>Świętokrzyski Fundusz Rozwoju Sp. z o.o.</w:t>
      </w:r>
      <w:r w:rsidR="0091243B" w:rsidRPr="0091243B" w:rsidDel="00A32CF2">
        <w:rPr>
          <w:rFonts w:cs="Calibri"/>
        </w:rPr>
        <w:t xml:space="preserve"> </w:t>
      </w:r>
      <w:r w:rsidR="00AB2CDC" w:rsidRPr="008D2C8A">
        <w:rPr>
          <w:rFonts w:cs="Calibri"/>
        </w:rPr>
        <w:t xml:space="preserve"> </w:t>
      </w:r>
      <w:r w:rsidR="00551C05" w:rsidRPr="008D2C8A">
        <w:rPr>
          <w:rFonts w:cs="Calibri"/>
        </w:rPr>
        <w:t xml:space="preserve">może </w:t>
      </w:r>
      <w:r w:rsidR="003F6DBA" w:rsidRPr="008D2C8A">
        <w:rPr>
          <w:rFonts w:cs="Calibri"/>
        </w:rPr>
        <w:t>wydłużyć</w:t>
      </w:r>
      <w:r w:rsidR="0067303B" w:rsidRPr="008D2C8A">
        <w:rPr>
          <w:rFonts w:cs="Calibri"/>
        </w:rPr>
        <w:t xml:space="preserve"> </w:t>
      </w:r>
      <w:r w:rsidR="003F6DBA" w:rsidRPr="008D2C8A">
        <w:rPr>
          <w:rFonts w:cs="Calibri"/>
        </w:rPr>
        <w:t xml:space="preserve">ten </w:t>
      </w:r>
      <w:r w:rsidR="0067303B" w:rsidRPr="008D2C8A">
        <w:rPr>
          <w:rFonts w:cs="Calibri"/>
        </w:rPr>
        <w:t>termin</w:t>
      </w:r>
      <w:r w:rsidR="00551C05" w:rsidRPr="008D2C8A">
        <w:rPr>
          <w:rFonts w:cs="Calibri"/>
        </w:rPr>
        <w:t xml:space="preserve"> maksymalnie </w:t>
      </w:r>
      <w:r w:rsidR="00EA4AC1">
        <w:rPr>
          <w:rFonts w:cs="Calibri"/>
        </w:rPr>
        <w:br/>
      </w:r>
      <w:r w:rsidR="00551C05" w:rsidRPr="008D2C8A">
        <w:rPr>
          <w:rFonts w:cs="Calibri"/>
        </w:rPr>
        <w:t xml:space="preserve">o </w:t>
      </w:r>
      <w:r w:rsidR="009C61FB" w:rsidRPr="008D2C8A">
        <w:rPr>
          <w:rFonts w:cs="Calibri"/>
        </w:rPr>
        <w:t xml:space="preserve">90 </w:t>
      </w:r>
      <w:r w:rsidR="00551C05" w:rsidRPr="008D2C8A">
        <w:rPr>
          <w:rFonts w:cs="Calibri"/>
        </w:rPr>
        <w:t>dni</w:t>
      </w:r>
      <w:r w:rsidR="004040CC" w:rsidRPr="008D2C8A">
        <w:rPr>
          <w:rFonts w:cs="Calibri"/>
        </w:rPr>
        <w:t>.</w:t>
      </w:r>
    </w:p>
    <w:p w14:paraId="4D9B416E" w14:textId="396D0E44" w:rsidR="009F04BE" w:rsidRPr="008D2C8A" w:rsidRDefault="001465A3" w:rsidP="0044720A">
      <w:pPr>
        <w:pStyle w:val="Akapitzlist"/>
        <w:widowControl w:val="0"/>
        <w:numPr>
          <w:ilvl w:val="0"/>
          <w:numId w:val="3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 xml:space="preserve">Dokumentem potwierdzającym wydatkowanie środków zgodnie z </w:t>
      </w:r>
      <w:r w:rsidR="001D7381" w:rsidRPr="008D2C8A">
        <w:rPr>
          <w:rFonts w:cs="Calibri"/>
        </w:rPr>
        <w:t>przeznaczeniem</w:t>
      </w:r>
      <w:r w:rsidRPr="008D2C8A">
        <w:rPr>
          <w:rFonts w:cs="Calibri"/>
        </w:rPr>
        <w:t>, na jaki</w:t>
      </w:r>
      <w:r w:rsidR="005874A5" w:rsidRPr="008D2C8A">
        <w:rPr>
          <w:rFonts w:cs="Calibri"/>
        </w:rPr>
        <w:t>e</w:t>
      </w:r>
      <w:r w:rsidRPr="008D2C8A">
        <w:rPr>
          <w:rFonts w:cs="Calibri"/>
        </w:rPr>
        <w:t xml:space="preserve"> zostały przyznane</w:t>
      </w:r>
      <w:r w:rsidR="00C011CF" w:rsidRPr="008D2C8A">
        <w:rPr>
          <w:rFonts w:cs="Calibri"/>
        </w:rPr>
        <w:t>,</w:t>
      </w:r>
      <w:r w:rsidRPr="008D2C8A">
        <w:rPr>
          <w:rFonts w:cs="Calibri"/>
        </w:rPr>
        <w:t xml:space="preserve"> </w:t>
      </w:r>
      <w:r w:rsidR="00D54BF0" w:rsidRPr="008D2C8A">
        <w:rPr>
          <w:rFonts w:cs="Calibri"/>
        </w:rPr>
        <w:t>jest</w:t>
      </w:r>
      <w:r w:rsidR="00F3775F" w:rsidRPr="008D2C8A">
        <w:rPr>
          <w:rFonts w:cs="Calibri"/>
        </w:rPr>
        <w:t xml:space="preserve"> </w:t>
      </w:r>
      <w:r w:rsidRPr="008D2C8A">
        <w:rPr>
          <w:rFonts w:cs="Calibri"/>
        </w:rPr>
        <w:t xml:space="preserve">faktura lub dokument </w:t>
      </w:r>
      <w:r w:rsidR="00F3775F" w:rsidRPr="008D2C8A">
        <w:rPr>
          <w:rFonts w:cs="Calibri"/>
        </w:rPr>
        <w:t xml:space="preserve">księgowy o </w:t>
      </w:r>
      <w:r w:rsidRPr="008D2C8A">
        <w:rPr>
          <w:rFonts w:cs="Calibri"/>
        </w:rPr>
        <w:t>równoważn</w:t>
      </w:r>
      <w:r w:rsidR="00F3775F" w:rsidRPr="008D2C8A">
        <w:rPr>
          <w:rFonts w:cs="Calibri"/>
        </w:rPr>
        <w:t>ej wartości dowodowej</w:t>
      </w:r>
      <w:r w:rsidR="00A505ED" w:rsidRPr="008D2C8A">
        <w:rPr>
          <w:rFonts w:cs="Calibri"/>
        </w:rPr>
        <w:t xml:space="preserve">, </w:t>
      </w:r>
      <w:r w:rsidR="009F04BE" w:rsidRPr="008D2C8A">
        <w:rPr>
          <w:rFonts w:cs="Calibri"/>
        </w:rPr>
        <w:t xml:space="preserve">wraz </w:t>
      </w:r>
      <w:r w:rsidR="00EA4AC1">
        <w:rPr>
          <w:rFonts w:cs="Calibri"/>
        </w:rPr>
        <w:br/>
      </w:r>
      <w:r w:rsidR="009F04BE" w:rsidRPr="008D2C8A">
        <w:rPr>
          <w:rFonts w:cs="Calibri"/>
        </w:rPr>
        <w:t>z dokumentem potwierdzającym dokonanie zapłaty.</w:t>
      </w:r>
      <w:r w:rsidR="00F3775F" w:rsidRPr="008D2C8A">
        <w:rPr>
          <w:rFonts w:cs="Calibri"/>
        </w:rPr>
        <w:t xml:space="preserve"> W przypadku, gdy częś</w:t>
      </w:r>
      <w:r w:rsidR="005565E9" w:rsidRPr="008D2C8A">
        <w:rPr>
          <w:rFonts w:cs="Calibri"/>
        </w:rPr>
        <w:t>ć</w:t>
      </w:r>
      <w:r w:rsidR="00F3775F" w:rsidRPr="008D2C8A">
        <w:rPr>
          <w:rFonts w:cs="Calibri"/>
        </w:rPr>
        <w:t xml:space="preserve"> Pożyczki wydatkowana jest na cele inne niż inwestycyjne,</w:t>
      </w:r>
      <w:r w:rsidR="00280B0A" w:rsidRPr="008D2C8A">
        <w:rPr>
          <w:rFonts w:cs="Calibri"/>
        </w:rPr>
        <w:t xml:space="preserve"> dla tej części</w:t>
      </w:r>
      <w:r w:rsidR="00F3775F" w:rsidRPr="008D2C8A">
        <w:rPr>
          <w:rFonts w:cs="Calibri"/>
        </w:rPr>
        <w:t xml:space="preserve"> </w:t>
      </w:r>
      <w:r w:rsidR="0091243B" w:rsidRPr="0091243B">
        <w:rPr>
          <w:rFonts w:cs="Calibri"/>
        </w:rPr>
        <w:t>Świętokrzyski Fundusz Rozwoju Sp. z o.o.</w:t>
      </w:r>
      <w:r w:rsidR="0091243B" w:rsidRPr="0091243B" w:rsidDel="00A32CF2">
        <w:rPr>
          <w:rFonts w:cs="Calibri"/>
        </w:rPr>
        <w:t xml:space="preserve"> </w:t>
      </w:r>
      <w:r w:rsidR="00F3775F" w:rsidRPr="008D2C8A">
        <w:rPr>
          <w:rFonts w:cs="Calibri"/>
        </w:rPr>
        <w:t xml:space="preserve"> może pozyskać inne dokumenty</w:t>
      </w:r>
      <w:r w:rsidR="008E3954" w:rsidRPr="008D2C8A">
        <w:rPr>
          <w:rFonts w:cs="Calibri"/>
        </w:rPr>
        <w:t xml:space="preserve"> niż </w:t>
      </w:r>
      <w:r w:rsidR="00172E83" w:rsidRPr="008D2C8A">
        <w:rPr>
          <w:rFonts w:cs="Calibri"/>
        </w:rPr>
        <w:t xml:space="preserve">wskazane </w:t>
      </w:r>
      <w:r w:rsidR="008E3954" w:rsidRPr="008D2C8A">
        <w:rPr>
          <w:rFonts w:cs="Calibri"/>
        </w:rPr>
        <w:t xml:space="preserve">w zdaniu </w:t>
      </w:r>
      <w:r w:rsidR="00F068AA" w:rsidRPr="008D2C8A">
        <w:rPr>
          <w:rFonts w:cs="Calibri"/>
        </w:rPr>
        <w:t>poprzedzającym</w:t>
      </w:r>
      <w:r w:rsidR="008E3954" w:rsidRPr="008D2C8A">
        <w:rPr>
          <w:rFonts w:cs="Calibri"/>
        </w:rPr>
        <w:t>, określone w sekcji 3.9.5 Wytycznych dotyczących kwalifikowalności wydatków</w:t>
      </w:r>
      <w:r w:rsidR="0037193D" w:rsidRPr="008D2C8A">
        <w:rPr>
          <w:rFonts w:cs="Calibri"/>
        </w:rPr>
        <w:t xml:space="preserve"> na lata 2021-</w:t>
      </w:r>
      <w:r w:rsidR="006558FF" w:rsidRPr="008D2C8A">
        <w:rPr>
          <w:rFonts w:cs="Calibri"/>
        </w:rPr>
        <w:t>2027</w:t>
      </w:r>
      <w:r w:rsidR="008E3954" w:rsidRPr="008D2C8A">
        <w:rPr>
          <w:rFonts w:cs="Calibri"/>
        </w:rPr>
        <w:t>.</w:t>
      </w:r>
      <w:r w:rsidR="001D7381" w:rsidRPr="008D2C8A">
        <w:rPr>
          <w:rFonts w:cs="Calibri"/>
        </w:rPr>
        <w:t xml:space="preserve"> </w:t>
      </w:r>
      <w:r w:rsidR="005E50A1" w:rsidRPr="005E50A1">
        <w:rPr>
          <w:rFonts w:cs="Calibri"/>
        </w:rPr>
        <w:t>Świętokrzyski Fundusz Rozwoju Sp. z o.o.</w:t>
      </w:r>
      <w:r w:rsidR="005E50A1" w:rsidRPr="005E50A1" w:rsidDel="00CA141B">
        <w:rPr>
          <w:rFonts w:cs="Calibri"/>
        </w:rPr>
        <w:t xml:space="preserve"> </w:t>
      </w:r>
      <w:r w:rsidR="00013F4E" w:rsidRPr="008D2C8A">
        <w:rPr>
          <w:rFonts w:cs="Calibri"/>
        </w:rPr>
        <w:t>,</w:t>
      </w:r>
      <w:r w:rsidR="003C5D10" w:rsidRPr="008D2C8A">
        <w:rPr>
          <w:rFonts w:cs="Calibri"/>
        </w:rPr>
        <w:t xml:space="preserve"> jeżeli uzna to za zasadne,</w:t>
      </w:r>
      <w:r w:rsidR="00237F1A" w:rsidRPr="008D2C8A">
        <w:rPr>
          <w:rFonts w:cs="Calibri"/>
        </w:rPr>
        <w:t xml:space="preserve"> ma prawo żądać od </w:t>
      </w:r>
      <w:r w:rsidR="001D35D8" w:rsidRPr="008D2C8A">
        <w:rPr>
          <w:rFonts w:cs="Calibri"/>
        </w:rPr>
        <w:t>Pożyczkobiorcy</w:t>
      </w:r>
      <w:r w:rsidR="00237F1A" w:rsidRPr="008D2C8A">
        <w:rPr>
          <w:rFonts w:cs="Calibri"/>
        </w:rPr>
        <w:t xml:space="preserve"> dodatkowych dokumentów potwierdzających realizację Inwestycji </w:t>
      </w:r>
      <w:r w:rsidR="00013F4E" w:rsidRPr="008D2C8A">
        <w:rPr>
          <w:rFonts w:cs="Calibri"/>
        </w:rPr>
        <w:t>lub</w:t>
      </w:r>
      <w:r w:rsidR="00237F1A" w:rsidRPr="008D2C8A">
        <w:rPr>
          <w:rFonts w:cs="Calibri"/>
        </w:rPr>
        <w:t xml:space="preserve"> wydatkowanie Pożyczki zgodnie z celem na jaki został</w:t>
      </w:r>
      <w:r w:rsidR="003C5D10" w:rsidRPr="008D2C8A">
        <w:rPr>
          <w:rFonts w:cs="Calibri"/>
        </w:rPr>
        <w:t>a</w:t>
      </w:r>
      <w:r w:rsidR="00237F1A" w:rsidRPr="008D2C8A">
        <w:rPr>
          <w:rFonts w:cs="Calibri"/>
        </w:rPr>
        <w:t xml:space="preserve"> p</w:t>
      </w:r>
      <w:r w:rsidR="003C5D10" w:rsidRPr="008D2C8A">
        <w:rPr>
          <w:rFonts w:cs="Calibri"/>
        </w:rPr>
        <w:t>rzyznana.</w:t>
      </w:r>
    </w:p>
    <w:p w14:paraId="5829FFC3" w14:textId="526340A4" w:rsidR="00776E8C" w:rsidRPr="008D2C8A" w:rsidRDefault="00776E8C" w:rsidP="0044720A">
      <w:pPr>
        <w:pStyle w:val="Akapitzlist"/>
        <w:widowControl w:val="0"/>
        <w:numPr>
          <w:ilvl w:val="0"/>
          <w:numId w:val="3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>Wraz z dokumentami</w:t>
      </w:r>
      <w:r w:rsidR="00447A34" w:rsidRPr="008D2C8A">
        <w:rPr>
          <w:rFonts w:cs="Calibri"/>
        </w:rPr>
        <w:t>,</w:t>
      </w:r>
      <w:r w:rsidRPr="008D2C8A">
        <w:rPr>
          <w:rFonts w:cs="Calibri"/>
        </w:rPr>
        <w:t xml:space="preserve"> o których mowa w ust. </w:t>
      </w:r>
      <w:r w:rsidR="005A5029" w:rsidRPr="008D2C8A">
        <w:rPr>
          <w:rFonts w:cs="Calibri"/>
        </w:rPr>
        <w:t xml:space="preserve">3 </w:t>
      </w:r>
      <w:r w:rsidRPr="008D2C8A">
        <w:rPr>
          <w:rFonts w:cs="Calibri"/>
        </w:rPr>
        <w:t xml:space="preserve">powyżej, </w:t>
      </w:r>
      <w:r w:rsidR="005E50A1" w:rsidRPr="005E50A1">
        <w:rPr>
          <w:rFonts w:cs="Calibri"/>
        </w:rPr>
        <w:t>Świętokrzyski Fundusz Rozwoju Sp. z o.o.</w:t>
      </w:r>
      <w:r w:rsidR="005E50A1" w:rsidRPr="005E50A1" w:rsidDel="00CA141B">
        <w:rPr>
          <w:rFonts w:cs="Calibri"/>
        </w:rPr>
        <w:t xml:space="preserve"> </w:t>
      </w:r>
      <w:r w:rsidRPr="008D2C8A">
        <w:rPr>
          <w:rFonts w:cs="Calibri"/>
        </w:rPr>
        <w:t xml:space="preserve">pozyskuje od </w:t>
      </w:r>
      <w:r w:rsidR="003205F9" w:rsidRPr="008D2C8A">
        <w:rPr>
          <w:rFonts w:cs="Calibri"/>
        </w:rPr>
        <w:t>Pożyczkobiorcy</w:t>
      </w:r>
      <w:r w:rsidRPr="008D2C8A">
        <w:rPr>
          <w:rFonts w:cs="Calibri"/>
        </w:rPr>
        <w:t xml:space="preserve"> informacje na temat </w:t>
      </w:r>
      <w:r w:rsidR="003D1574" w:rsidRPr="008D2C8A">
        <w:rPr>
          <w:rFonts w:cs="Calibri"/>
        </w:rPr>
        <w:t>wysokości</w:t>
      </w:r>
      <w:r w:rsidRPr="008D2C8A">
        <w:rPr>
          <w:rFonts w:cs="Calibri"/>
        </w:rPr>
        <w:t xml:space="preserve"> wniesionego przez niego wkładu własnego do </w:t>
      </w:r>
      <w:r w:rsidR="003205F9" w:rsidRPr="008D2C8A">
        <w:rPr>
          <w:rFonts w:cs="Calibri"/>
        </w:rPr>
        <w:t>i</w:t>
      </w:r>
      <w:r w:rsidRPr="008D2C8A">
        <w:rPr>
          <w:rFonts w:cs="Calibri"/>
        </w:rPr>
        <w:t>nwestycji</w:t>
      </w:r>
      <w:r w:rsidR="00462E12" w:rsidRPr="008D2C8A">
        <w:rPr>
          <w:rFonts w:cs="Calibri"/>
        </w:rPr>
        <w:t xml:space="preserve"> </w:t>
      </w:r>
      <w:r w:rsidR="00447A34" w:rsidRPr="008D2C8A">
        <w:rPr>
          <w:rFonts w:cs="Calibri"/>
        </w:rPr>
        <w:t>(jeśli został wniesiony)</w:t>
      </w:r>
      <w:r w:rsidRPr="008D2C8A">
        <w:rPr>
          <w:rFonts w:cs="Calibri"/>
        </w:rPr>
        <w:t>. Info</w:t>
      </w:r>
      <w:r w:rsidR="003D1574" w:rsidRPr="008D2C8A">
        <w:rPr>
          <w:rFonts w:cs="Calibri"/>
        </w:rPr>
        <w:t>rmacja ta może zostać pozyskana</w:t>
      </w:r>
      <w:r w:rsidRPr="008D2C8A">
        <w:rPr>
          <w:rFonts w:cs="Calibri"/>
        </w:rPr>
        <w:t xml:space="preserve"> </w:t>
      </w:r>
      <w:r w:rsidR="003D1574" w:rsidRPr="008D2C8A">
        <w:rPr>
          <w:rFonts w:cs="Calibri"/>
        </w:rPr>
        <w:t xml:space="preserve">przez </w:t>
      </w:r>
      <w:r w:rsidR="005E50A1" w:rsidRPr="005E50A1">
        <w:rPr>
          <w:rFonts w:cs="Calibri"/>
        </w:rPr>
        <w:t>Świętokrzyski Fundusz Rozwoju Sp. z o.o.</w:t>
      </w:r>
      <w:r w:rsidR="005E50A1" w:rsidRPr="005E50A1" w:rsidDel="00CA141B">
        <w:rPr>
          <w:rFonts w:cs="Calibri"/>
        </w:rPr>
        <w:t xml:space="preserve"> </w:t>
      </w:r>
      <w:r w:rsidR="003205F9" w:rsidRPr="008D2C8A">
        <w:rPr>
          <w:rFonts w:cs="Calibri"/>
        </w:rPr>
        <w:t xml:space="preserve"> </w:t>
      </w:r>
      <w:r w:rsidRPr="008D2C8A">
        <w:rPr>
          <w:rFonts w:cs="Calibri"/>
        </w:rPr>
        <w:t xml:space="preserve">w formie danych podanych </w:t>
      </w:r>
      <w:r w:rsidR="003D1574" w:rsidRPr="008D2C8A">
        <w:rPr>
          <w:rFonts w:cs="Calibri"/>
        </w:rPr>
        <w:t xml:space="preserve">przez </w:t>
      </w:r>
      <w:r w:rsidR="001848BF" w:rsidRPr="008D2C8A">
        <w:rPr>
          <w:rFonts w:cs="Calibri"/>
        </w:rPr>
        <w:t>Pożyczkobiorcę</w:t>
      </w:r>
      <w:r w:rsidR="003D1574" w:rsidRPr="008D2C8A">
        <w:rPr>
          <w:rFonts w:cs="Calibri"/>
        </w:rPr>
        <w:t xml:space="preserve"> </w:t>
      </w:r>
      <w:r w:rsidRPr="008D2C8A">
        <w:rPr>
          <w:rFonts w:cs="Calibri"/>
        </w:rPr>
        <w:t xml:space="preserve">na formularzu </w:t>
      </w:r>
      <w:r w:rsidR="00E541BD" w:rsidRPr="008D2C8A">
        <w:rPr>
          <w:rFonts w:cs="Calibri"/>
        </w:rPr>
        <w:t xml:space="preserve">rozliczenia </w:t>
      </w:r>
      <w:r w:rsidRPr="008D2C8A">
        <w:rPr>
          <w:rFonts w:cs="Calibri"/>
        </w:rPr>
        <w:t>udostępniony</w:t>
      </w:r>
      <w:r w:rsidR="00E541BD" w:rsidRPr="008D2C8A">
        <w:rPr>
          <w:rFonts w:cs="Calibri"/>
        </w:rPr>
        <w:t>m</w:t>
      </w:r>
      <w:r w:rsidRPr="008D2C8A">
        <w:rPr>
          <w:rFonts w:cs="Calibri"/>
        </w:rPr>
        <w:t xml:space="preserve"> p</w:t>
      </w:r>
      <w:r w:rsidR="00E75B98" w:rsidRPr="008D2C8A">
        <w:rPr>
          <w:rFonts w:cs="Calibri"/>
        </w:rPr>
        <w:t xml:space="preserve">rzez </w:t>
      </w:r>
      <w:r w:rsidR="00161492" w:rsidRPr="00161492">
        <w:rPr>
          <w:rFonts w:cs="Calibri"/>
        </w:rPr>
        <w:t>Świętokrzyski Fundusz Rozwoju Sp. z o.o.</w:t>
      </w:r>
      <w:r w:rsidR="00161492" w:rsidRPr="00161492" w:rsidDel="00CD31A4">
        <w:rPr>
          <w:rFonts w:cs="Calibri"/>
        </w:rPr>
        <w:t xml:space="preserve"> </w:t>
      </w:r>
      <w:r w:rsidR="00E75B98" w:rsidRPr="008D2C8A">
        <w:rPr>
          <w:rFonts w:cs="Calibri"/>
        </w:rPr>
        <w:t>lub w formie innych dokumentów</w:t>
      </w:r>
      <w:r w:rsidR="00E541BD" w:rsidRPr="008D2C8A">
        <w:rPr>
          <w:rFonts w:cs="Calibri"/>
        </w:rPr>
        <w:t>.</w:t>
      </w:r>
    </w:p>
    <w:p w14:paraId="5E45BDC5" w14:textId="3D4954FC" w:rsidR="00736A56" w:rsidRPr="008D2C8A" w:rsidRDefault="00736A56" w:rsidP="0044720A">
      <w:pPr>
        <w:pStyle w:val="Akapitzlist"/>
        <w:widowControl w:val="0"/>
        <w:numPr>
          <w:ilvl w:val="0"/>
          <w:numId w:val="3"/>
        </w:numPr>
        <w:suppressAutoHyphens/>
        <w:spacing w:before="120" w:after="120"/>
        <w:ind w:left="426" w:hanging="426"/>
        <w:contextualSpacing w:val="0"/>
        <w:jc w:val="both"/>
        <w:rPr>
          <w:rFonts w:cs="Calibri"/>
        </w:rPr>
      </w:pPr>
      <w:r w:rsidRPr="008D2C8A">
        <w:rPr>
          <w:rFonts w:cs="Calibri"/>
        </w:rPr>
        <w:t xml:space="preserve">W przypadku dokonywania płatności w formie gotówkowej, płatności takie </w:t>
      </w:r>
      <w:r w:rsidR="00F5716D" w:rsidRPr="008D2C8A">
        <w:rPr>
          <w:rFonts w:cs="Calibri"/>
        </w:rPr>
        <w:t xml:space="preserve">muszą być </w:t>
      </w:r>
      <w:r w:rsidRPr="008D2C8A">
        <w:rPr>
          <w:rFonts w:cs="Calibri"/>
        </w:rPr>
        <w:t xml:space="preserve">dokonywane </w:t>
      </w:r>
      <w:r w:rsidR="00EA4AC1">
        <w:rPr>
          <w:rFonts w:cs="Calibri"/>
        </w:rPr>
        <w:br/>
      </w:r>
      <w:r w:rsidRPr="008D2C8A">
        <w:rPr>
          <w:rFonts w:cs="Calibri"/>
        </w:rPr>
        <w:t xml:space="preserve">z poszanowaniem art. 19 Ustawy z dnia </w:t>
      </w:r>
      <w:r w:rsidR="00E227DA" w:rsidRPr="008D2C8A">
        <w:rPr>
          <w:rFonts w:cs="Calibri"/>
        </w:rPr>
        <w:t>6</w:t>
      </w:r>
      <w:r w:rsidRPr="008D2C8A">
        <w:rPr>
          <w:rFonts w:cs="Calibri"/>
        </w:rPr>
        <w:t xml:space="preserve"> marca 2018 r. Prawo przedsiębiorców lub aktu zastępującego</w:t>
      </w:r>
      <w:r w:rsidR="001D5417" w:rsidRPr="008D2C8A">
        <w:rPr>
          <w:rFonts w:cs="Calibri"/>
        </w:rPr>
        <w:t>, pod rygorem uznania</w:t>
      </w:r>
      <w:r w:rsidR="00F5716D" w:rsidRPr="008D2C8A">
        <w:rPr>
          <w:rFonts w:cs="Calibri"/>
        </w:rPr>
        <w:t xml:space="preserve"> tego rodzaju płatności jako wydatki niekwalifikowalne.</w:t>
      </w:r>
    </w:p>
    <w:p w14:paraId="348E17EB" w14:textId="38A43DCF" w:rsidR="008C7EA7" w:rsidRPr="008D2C8A" w:rsidRDefault="00161492" w:rsidP="0044720A">
      <w:pPr>
        <w:pStyle w:val="Akapitzlist"/>
        <w:widowControl w:val="0"/>
        <w:numPr>
          <w:ilvl w:val="0"/>
          <w:numId w:val="3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161492">
        <w:rPr>
          <w:rFonts w:cs="Calibri"/>
        </w:rPr>
        <w:t>Świętokrzyski Fundusz Rozwoju Sp. z o.o.</w:t>
      </w:r>
      <w:r w:rsidRPr="00161492" w:rsidDel="00CA141B">
        <w:rPr>
          <w:rFonts w:cs="Calibri"/>
        </w:rPr>
        <w:t xml:space="preserve"> </w:t>
      </w:r>
      <w:r w:rsidR="008C7EA7" w:rsidRPr="008D2C8A">
        <w:rPr>
          <w:rFonts w:cs="Calibri"/>
        </w:rPr>
        <w:t xml:space="preserve"> </w:t>
      </w:r>
      <w:r w:rsidR="00D16971" w:rsidRPr="008D2C8A">
        <w:rPr>
          <w:rFonts w:cs="Calibri"/>
        </w:rPr>
        <w:t xml:space="preserve">przyjmuje </w:t>
      </w:r>
      <w:r w:rsidR="008C7EA7" w:rsidRPr="008D2C8A">
        <w:rPr>
          <w:rFonts w:cs="Calibri"/>
        </w:rPr>
        <w:t xml:space="preserve">od </w:t>
      </w:r>
      <w:r w:rsidR="00325362" w:rsidRPr="008D2C8A">
        <w:rPr>
          <w:rFonts w:cs="Calibri"/>
        </w:rPr>
        <w:t>Pożyczkobiorcy</w:t>
      </w:r>
      <w:r w:rsidR="008C7EA7" w:rsidRPr="008D2C8A">
        <w:rPr>
          <w:rFonts w:cs="Calibri"/>
        </w:rPr>
        <w:t xml:space="preserve"> dokument</w:t>
      </w:r>
      <w:r w:rsidR="00292272" w:rsidRPr="008D2C8A">
        <w:rPr>
          <w:rFonts w:cs="Calibri"/>
        </w:rPr>
        <w:t>y</w:t>
      </w:r>
      <w:r w:rsidR="005565E9" w:rsidRPr="008D2C8A">
        <w:rPr>
          <w:rFonts w:cs="Calibri"/>
        </w:rPr>
        <w:t xml:space="preserve">, </w:t>
      </w:r>
      <w:r w:rsidR="00394558" w:rsidRPr="008D2C8A">
        <w:rPr>
          <w:rFonts w:cs="Calibri"/>
        </w:rPr>
        <w:t xml:space="preserve">o których mowa w </w:t>
      </w:r>
      <w:r w:rsidR="00D16971" w:rsidRPr="008D2C8A">
        <w:rPr>
          <w:rFonts w:cs="Calibri"/>
        </w:rPr>
        <w:t>ust</w:t>
      </w:r>
      <w:r w:rsidR="00394558" w:rsidRPr="008D2C8A">
        <w:rPr>
          <w:rFonts w:cs="Calibri"/>
        </w:rPr>
        <w:t xml:space="preserve">. </w:t>
      </w:r>
      <w:r w:rsidR="005A5029" w:rsidRPr="008D2C8A">
        <w:rPr>
          <w:rFonts w:cs="Calibri"/>
        </w:rPr>
        <w:t>3</w:t>
      </w:r>
      <w:r w:rsidR="008C7EA7" w:rsidRPr="008D2C8A">
        <w:rPr>
          <w:rFonts w:cs="Calibri"/>
        </w:rPr>
        <w:t xml:space="preserve"> </w:t>
      </w:r>
      <w:r w:rsidR="005B5E8E" w:rsidRPr="008D2C8A">
        <w:rPr>
          <w:rFonts w:cs="Calibri"/>
        </w:rPr>
        <w:t>i</w:t>
      </w:r>
      <w:r w:rsidR="003D1574" w:rsidRPr="008D2C8A">
        <w:rPr>
          <w:rFonts w:cs="Calibri"/>
        </w:rPr>
        <w:t xml:space="preserve"> informacj</w:t>
      </w:r>
      <w:r w:rsidR="00292272" w:rsidRPr="008D2C8A">
        <w:rPr>
          <w:rFonts w:cs="Calibri"/>
        </w:rPr>
        <w:t>ę</w:t>
      </w:r>
      <w:r w:rsidR="005B5E8E" w:rsidRPr="008D2C8A">
        <w:rPr>
          <w:rFonts w:cs="Calibri"/>
        </w:rPr>
        <w:t>,</w:t>
      </w:r>
      <w:r w:rsidR="003D1574" w:rsidRPr="008D2C8A">
        <w:rPr>
          <w:rFonts w:cs="Calibri"/>
        </w:rPr>
        <w:t xml:space="preserve"> o której mowa w </w:t>
      </w:r>
      <w:r w:rsidR="00D16971" w:rsidRPr="008D2C8A">
        <w:rPr>
          <w:rFonts w:cs="Calibri"/>
        </w:rPr>
        <w:t>ust</w:t>
      </w:r>
      <w:r w:rsidR="003D1574" w:rsidRPr="008D2C8A">
        <w:rPr>
          <w:rFonts w:cs="Calibri"/>
        </w:rPr>
        <w:t xml:space="preserve">. </w:t>
      </w:r>
      <w:r w:rsidR="00554E1C" w:rsidRPr="008D2C8A">
        <w:rPr>
          <w:rFonts w:cs="Calibri"/>
        </w:rPr>
        <w:t>4</w:t>
      </w:r>
      <w:r w:rsidR="003D1574" w:rsidRPr="008D2C8A">
        <w:rPr>
          <w:rFonts w:cs="Calibri"/>
        </w:rPr>
        <w:t xml:space="preserve"> </w:t>
      </w:r>
      <w:r w:rsidR="008C7EA7" w:rsidRPr="008D2C8A">
        <w:rPr>
          <w:rFonts w:cs="Calibri"/>
        </w:rPr>
        <w:t>powyżej oraz</w:t>
      </w:r>
      <w:r w:rsidR="005565E9" w:rsidRPr="008D2C8A">
        <w:rPr>
          <w:rFonts w:cs="Calibri"/>
        </w:rPr>
        <w:t xml:space="preserve"> –</w:t>
      </w:r>
      <w:r w:rsidR="00292272" w:rsidRPr="008D2C8A">
        <w:rPr>
          <w:rFonts w:cs="Calibri"/>
        </w:rPr>
        <w:t xml:space="preserve"> w ciągu 30 dni od upływu terminu </w:t>
      </w:r>
      <w:r w:rsidR="005B5E8E" w:rsidRPr="008D2C8A">
        <w:rPr>
          <w:rFonts w:cs="Calibri"/>
        </w:rPr>
        <w:t xml:space="preserve">wskazanego </w:t>
      </w:r>
      <w:r w:rsidR="00292272" w:rsidRPr="008D2C8A">
        <w:rPr>
          <w:rFonts w:cs="Calibri"/>
        </w:rPr>
        <w:t xml:space="preserve">w </w:t>
      </w:r>
      <w:r w:rsidR="00D16971" w:rsidRPr="008D2C8A">
        <w:rPr>
          <w:rFonts w:cs="Calibri"/>
        </w:rPr>
        <w:t>ust</w:t>
      </w:r>
      <w:r w:rsidR="00292272" w:rsidRPr="008D2C8A">
        <w:rPr>
          <w:rFonts w:cs="Calibri"/>
        </w:rPr>
        <w:t xml:space="preserve">. </w:t>
      </w:r>
      <w:r w:rsidR="005C40B6" w:rsidRPr="008D2C8A">
        <w:rPr>
          <w:rFonts w:cs="Calibri"/>
        </w:rPr>
        <w:t>2</w:t>
      </w:r>
      <w:r w:rsidR="00D37B44" w:rsidRPr="008D2C8A">
        <w:rPr>
          <w:rFonts w:cs="Calibri"/>
        </w:rPr>
        <w:t>–</w:t>
      </w:r>
      <w:r w:rsidR="008C7EA7" w:rsidRPr="008D2C8A">
        <w:rPr>
          <w:rFonts w:cs="Calibri"/>
        </w:rPr>
        <w:t xml:space="preserve"> </w:t>
      </w:r>
      <w:r w:rsidR="00292272" w:rsidRPr="008D2C8A">
        <w:rPr>
          <w:rFonts w:cs="Calibri"/>
        </w:rPr>
        <w:t xml:space="preserve">dokonuje </w:t>
      </w:r>
      <w:r w:rsidR="008C7EA7" w:rsidRPr="008D2C8A">
        <w:rPr>
          <w:rFonts w:cs="Calibri"/>
        </w:rPr>
        <w:t>ich weryfikacj</w:t>
      </w:r>
      <w:r w:rsidR="00292272" w:rsidRPr="008D2C8A">
        <w:rPr>
          <w:rFonts w:cs="Calibri"/>
        </w:rPr>
        <w:t>i</w:t>
      </w:r>
      <w:r w:rsidR="008C7EA7" w:rsidRPr="008D2C8A">
        <w:rPr>
          <w:rFonts w:cs="Calibri"/>
        </w:rPr>
        <w:t xml:space="preserve">. </w:t>
      </w:r>
    </w:p>
    <w:p w14:paraId="4A3854AF" w14:textId="1A2D0293" w:rsidR="001465A3" w:rsidRPr="008D2C8A" w:rsidRDefault="00265E3C" w:rsidP="0044720A">
      <w:pPr>
        <w:pStyle w:val="Akapitzlist"/>
        <w:widowControl w:val="0"/>
        <w:numPr>
          <w:ilvl w:val="0"/>
          <w:numId w:val="3"/>
        </w:numPr>
        <w:suppressAutoHyphens/>
        <w:spacing w:before="120" w:after="120"/>
        <w:ind w:left="426" w:hanging="426"/>
        <w:contextualSpacing w:val="0"/>
        <w:jc w:val="both"/>
        <w:rPr>
          <w:rFonts w:cs="Calibri"/>
        </w:rPr>
      </w:pPr>
      <w:r w:rsidRPr="008D2C8A">
        <w:rPr>
          <w:rFonts w:cs="Calibri"/>
        </w:rPr>
        <w:lastRenderedPageBreak/>
        <w:t xml:space="preserve">Wszelka dokumentacja potwierdzająca wydatkowanie środków przez </w:t>
      </w:r>
      <w:r w:rsidR="0092350A" w:rsidRPr="008D2C8A">
        <w:rPr>
          <w:rFonts w:cs="Calibri"/>
        </w:rPr>
        <w:t>Pożyczkobiorcę</w:t>
      </w:r>
      <w:r w:rsidR="00F74BD2" w:rsidRPr="008D2C8A">
        <w:rPr>
          <w:rFonts w:cs="Calibri"/>
        </w:rPr>
        <w:t xml:space="preserve"> </w:t>
      </w:r>
      <w:r w:rsidRPr="008D2C8A">
        <w:rPr>
          <w:rFonts w:cs="Calibri"/>
        </w:rPr>
        <w:t>powinna być, co do zasady, sporządzona w języku polskim, a w przypadku dokumentów wystawianych w języku innym niż język polski</w:t>
      </w:r>
      <w:r w:rsidR="001F5624" w:rsidRPr="008D2C8A">
        <w:rPr>
          <w:rFonts w:cs="Calibri"/>
        </w:rPr>
        <w:t xml:space="preserve">, </w:t>
      </w:r>
      <w:r w:rsidR="00445D37" w:rsidRPr="008D2C8A">
        <w:rPr>
          <w:rFonts w:cs="Calibri"/>
        </w:rPr>
        <w:t xml:space="preserve">w </w:t>
      </w:r>
      <w:r w:rsidR="00EB76BB" w:rsidRPr="008D2C8A">
        <w:rPr>
          <w:rFonts w:cs="Calibri"/>
        </w:rPr>
        <w:t>razie</w:t>
      </w:r>
      <w:r w:rsidR="00445D37" w:rsidRPr="008D2C8A">
        <w:rPr>
          <w:rFonts w:cs="Calibri"/>
        </w:rPr>
        <w:t xml:space="preserve"> istnienia wątpliwości co do treści tych dokumentów, </w:t>
      </w:r>
      <w:r w:rsidR="001F5624" w:rsidRPr="008D2C8A">
        <w:rPr>
          <w:rFonts w:cs="Calibri"/>
        </w:rPr>
        <w:t>powinna</w:t>
      </w:r>
      <w:r w:rsidRPr="008D2C8A">
        <w:rPr>
          <w:rFonts w:cs="Calibri"/>
        </w:rPr>
        <w:t xml:space="preserve"> zostać przetłumaczona na język polski</w:t>
      </w:r>
      <w:r w:rsidR="00445D37" w:rsidRPr="008D2C8A">
        <w:rPr>
          <w:rFonts w:cs="Calibri"/>
        </w:rPr>
        <w:t>.</w:t>
      </w:r>
    </w:p>
    <w:p w14:paraId="0A112982" w14:textId="402A41FA" w:rsidR="00C63BCD" w:rsidRPr="008D2C8A" w:rsidRDefault="00C63BCD" w:rsidP="0044720A">
      <w:pPr>
        <w:pStyle w:val="Akapitzlist"/>
        <w:widowControl w:val="0"/>
        <w:numPr>
          <w:ilvl w:val="0"/>
          <w:numId w:val="4"/>
        </w:numPr>
        <w:suppressAutoHyphens/>
        <w:spacing w:before="120" w:after="120"/>
        <w:ind w:left="426" w:hanging="426"/>
        <w:contextualSpacing w:val="0"/>
        <w:jc w:val="both"/>
        <w:rPr>
          <w:rFonts w:cs="Calibri"/>
          <w:b/>
        </w:rPr>
      </w:pPr>
      <w:r w:rsidRPr="008D2C8A">
        <w:rPr>
          <w:rFonts w:cs="Calibri"/>
          <w:b/>
        </w:rPr>
        <w:t>Cesja wierzytelności i zabezpieczeń</w:t>
      </w:r>
    </w:p>
    <w:p w14:paraId="4F721B58" w14:textId="77777777" w:rsidR="00C63BCD" w:rsidRPr="008D2C8A" w:rsidRDefault="00C63BCD" w:rsidP="0044720A">
      <w:pPr>
        <w:pStyle w:val="Akapitzlist"/>
        <w:numPr>
          <w:ilvl w:val="0"/>
          <w:numId w:val="39"/>
        </w:numPr>
        <w:spacing w:before="120" w:after="120"/>
        <w:ind w:left="426"/>
        <w:contextualSpacing w:val="0"/>
        <w:jc w:val="both"/>
        <w:rPr>
          <w:rFonts w:cs="Calibri"/>
        </w:rPr>
      </w:pPr>
      <w:r w:rsidRPr="008D2C8A">
        <w:rPr>
          <w:rFonts w:cs="Calibri"/>
        </w:rPr>
        <w:t>Pożyczkobiorca przyjmuje do wiadomości, że Pożyczkodawca dokonał przelewu na rzecz Banku Gospodarstwa Krajowego wierzytelności Pożyczkodawcy z tytułu zawartej przez Pożyczkobiorcę umowy pożyczki oraz ustanowionych przez niego zabezpieczeń.</w:t>
      </w:r>
    </w:p>
    <w:p w14:paraId="678FE4DE" w14:textId="77777777" w:rsidR="00C63BCD" w:rsidRPr="008D2C8A" w:rsidRDefault="00C63BCD" w:rsidP="0044720A">
      <w:pPr>
        <w:pStyle w:val="Akapitzlist"/>
        <w:numPr>
          <w:ilvl w:val="0"/>
          <w:numId w:val="39"/>
        </w:numPr>
        <w:spacing w:before="120" w:after="120"/>
        <w:ind w:left="426"/>
        <w:contextualSpacing w:val="0"/>
        <w:jc w:val="both"/>
        <w:rPr>
          <w:rFonts w:cs="Calibri"/>
        </w:rPr>
      </w:pPr>
      <w:r w:rsidRPr="008D2C8A">
        <w:rPr>
          <w:rFonts w:cs="Calibri"/>
        </w:rPr>
        <w:t>Przelew wierzytelności Pożyczkobiorcy na rzecz Banku Gospodarstwa Krajowego dokonany został z tzw. warunkiem zawieszającym, tj. skutek prawny tego przelewu, wystąpi z chwilą zajścia okoliczności określonych w umowie zawartej pomiędzy Pożyczkodawcą a Bankiem Gospodarstwa Krajowego, o czym Pożyczkobiorca poinformowany zostanie przez Pożyczkodawcę lub przez Bank Gospodarstwa Krajowego w drodze pisemnej.</w:t>
      </w:r>
    </w:p>
    <w:p w14:paraId="164C1A0D" w14:textId="77777777" w:rsidR="00C63BCD" w:rsidRPr="008D2C8A" w:rsidRDefault="00C63BCD" w:rsidP="0044720A">
      <w:pPr>
        <w:pStyle w:val="Akapitzlist"/>
        <w:numPr>
          <w:ilvl w:val="0"/>
          <w:numId w:val="39"/>
        </w:numPr>
        <w:spacing w:before="120" w:after="120"/>
        <w:ind w:left="426"/>
        <w:contextualSpacing w:val="0"/>
        <w:jc w:val="both"/>
        <w:rPr>
          <w:rFonts w:cs="Calibri"/>
        </w:rPr>
      </w:pPr>
      <w:r w:rsidRPr="008D2C8A">
        <w:rPr>
          <w:rFonts w:cs="Calibri"/>
        </w:rPr>
        <w:t>Zawiadomienie o którym mowa w pkt. 2 powyżej zawierało będzie informacje dotyczące w szczególności obowiązku spłaty przez Pożyczkobiorcę rat kapitałowych i odsetek wynikających z harmonogramu spłat jak i innych płatności wynikających z umowy pożyczki, na nowy rachunek wskazany przez Bank Gospodarstwa Krajowego.</w:t>
      </w:r>
    </w:p>
    <w:p w14:paraId="009032CD" w14:textId="77777777" w:rsidR="00C63BCD" w:rsidRPr="008D2C8A" w:rsidRDefault="00C63BCD" w:rsidP="0044720A">
      <w:pPr>
        <w:pStyle w:val="Akapitzlist"/>
        <w:numPr>
          <w:ilvl w:val="0"/>
          <w:numId w:val="39"/>
        </w:numPr>
        <w:spacing w:before="120" w:after="120"/>
        <w:ind w:left="426"/>
        <w:contextualSpacing w:val="0"/>
        <w:jc w:val="both"/>
        <w:rPr>
          <w:rFonts w:cs="Calibri"/>
        </w:rPr>
      </w:pPr>
      <w:r w:rsidRPr="008D2C8A">
        <w:rPr>
          <w:rFonts w:cs="Calibri"/>
        </w:rPr>
        <w:t>Bank Gospodarstwa Krajowego ma prawo do dokonania dalszych przelewów wymienionych powyżej wierzytelności wraz z zabezpieczeniami na inny podmiot.</w:t>
      </w:r>
    </w:p>
    <w:p w14:paraId="4BF17F9B" w14:textId="3031DB9A" w:rsidR="005C057F" w:rsidRPr="008D2C8A" w:rsidRDefault="005C057F" w:rsidP="0044720A">
      <w:pPr>
        <w:pStyle w:val="Akapitzlist"/>
        <w:widowControl w:val="0"/>
        <w:numPr>
          <w:ilvl w:val="0"/>
          <w:numId w:val="4"/>
        </w:numPr>
        <w:suppressAutoHyphens/>
        <w:spacing w:before="120" w:after="120"/>
        <w:ind w:left="425" w:hanging="425"/>
        <w:contextualSpacing w:val="0"/>
        <w:jc w:val="both"/>
        <w:rPr>
          <w:rFonts w:cs="Calibri"/>
          <w:b/>
        </w:rPr>
      </w:pPr>
      <w:r w:rsidRPr="008D2C8A">
        <w:rPr>
          <w:rFonts w:cs="Calibri"/>
          <w:b/>
        </w:rPr>
        <w:t xml:space="preserve">Zasady </w:t>
      </w:r>
      <w:r w:rsidR="00EE07F6" w:rsidRPr="008D2C8A">
        <w:rPr>
          <w:rFonts w:cs="Calibri"/>
          <w:b/>
        </w:rPr>
        <w:t xml:space="preserve">odpłatności za udzielenie </w:t>
      </w:r>
      <w:r w:rsidR="00FD026B" w:rsidRPr="008D2C8A">
        <w:rPr>
          <w:rFonts w:cs="Calibri"/>
          <w:b/>
        </w:rPr>
        <w:t>Pożyczek</w:t>
      </w:r>
    </w:p>
    <w:p w14:paraId="0AB92911" w14:textId="33EB94BE" w:rsidR="001D353E" w:rsidRPr="008D2C8A" w:rsidRDefault="00FD026B" w:rsidP="0044720A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suppressAutoHyphens/>
        <w:spacing w:before="120" w:after="120"/>
        <w:ind w:left="426" w:hanging="426"/>
        <w:contextualSpacing w:val="0"/>
        <w:jc w:val="both"/>
        <w:rPr>
          <w:rFonts w:cs="Calibri"/>
        </w:rPr>
      </w:pPr>
      <w:r w:rsidRPr="008D2C8A">
        <w:rPr>
          <w:rFonts w:cs="Calibri"/>
        </w:rPr>
        <w:t xml:space="preserve">Pożyczki </w:t>
      </w:r>
      <w:r w:rsidR="00EE07F6" w:rsidRPr="008D2C8A">
        <w:rPr>
          <w:rFonts w:cs="Calibri"/>
        </w:rPr>
        <w:t xml:space="preserve">mogą być </w:t>
      </w:r>
      <w:r w:rsidR="00C52CEE" w:rsidRPr="008D2C8A">
        <w:rPr>
          <w:rFonts w:cs="Calibri"/>
        </w:rPr>
        <w:t xml:space="preserve">udzielane </w:t>
      </w:r>
      <w:r w:rsidR="00B8014F" w:rsidRPr="008D2C8A">
        <w:rPr>
          <w:rFonts w:cs="Calibri"/>
        </w:rPr>
        <w:t xml:space="preserve">na warunkach </w:t>
      </w:r>
      <w:r w:rsidR="00C52CEE" w:rsidRPr="008D2C8A">
        <w:rPr>
          <w:rFonts w:cs="Calibri"/>
        </w:rPr>
        <w:t>preferencyjnych</w:t>
      </w:r>
      <w:r w:rsidR="00B8014F" w:rsidRPr="008D2C8A">
        <w:rPr>
          <w:rFonts w:cs="Calibri"/>
        </w:rPr>
        <w:t xml:space="preserve"> </w:t>
      </w:r>
      <w:r w:rsidR="00C52CEE" w:rsidRPr="008D2C8A">
        <w:rPr>
          <w:rFonts w:cs="Calibri"/>
        </w:rPr>
        <w:t>(</w:t>
      </w:r>
      <w:r w:rsidR="00B8014F" w:rsidRPr="008D2C8A">
        <w:rPr>
          <w:rFonts w:cs="Calibri"/>
        </w:rPr>
        <w:t>korzystniejszych niż rynkowe</w:t>
      </w:r>
      <w:r w:rsidR="00C52CEE" w:rsidRPr="008D2C8A">
        <w:rPr>
          <w:rFonts w:cs="Calibri"/>
        </w:rPr>
        <w:t>) lub na warunkach rynkowych</w:t>
      </w:r>
      <w:r w:rsidR="00B8014F" w:rsidRPr="008D2C8A">
        <w:rPr>
          <w:rFonts w:cs="Calibri"/>
        </w:rPr>
        <w:t>.</w:t>
      </w:r>
    </w:p>
    <w:p w14:paraId="7C6916C9" w14:textId="5E387AC3" w:rsidR="00B8014F" w:rsidRPr="008D2C8A" w:rsidRDefault="00B8014F" w:rsidP="0044720A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suppressAutoHyphens/>
        <w:spacing w:before="120" w:after="120"/>
        <w:ind w:left="426" w:hanging="426"/>
        <w:contextualSpacing w:val="0"/>
        <w:jc w:val="both"/>
        <w:rPr>
          <w:rFonts w:cs="Calibri"/>
        </w:rPr>
      </w:pPr>
      <w:r w:rsidRPr="008D2C8A">
        <w:rPr>
          <w:rFonts w:cs="Calibri"/>
        </w:rPr>
        <w:t xml:space="preserve">Oprocentowanie na zasadach rynkowych ustalane jest w wysokości stopy referencyjnej obliczanej przy zastosowaniu obowiązującej stopy bazowej oraz marży ustalonej w oparciu o </w:t>
      </w:r>
      <w:r w:rsidRPr="008D2C8A">
        <w:rPr>
          <w:rFonts w:cs="Calibri"/>
          <w:iCs/>
        </w:rPr>
        <w:t xml:space="preserve">Komunikat Komisji Europejskiej z dnia 19 stycznia 2008 r. w sprawie zmiany metody ustalania stóp referencyjnych </w:t>
      </w:r>
      <w:r w:rsidR="00EA4AC1">
        <w:rPr>
          <w:rFonts w:cs="Calibri"/>
          <w:iCs/>
        </w:rPr>
        <w:br/>
      </w:r>
      <w:r w:rsidRPr="008D2C8A">
        <w:rPr>
          <w:rFonts w:cs="Calibri"/>
          <w:iCs/>
        </w:rPr>
        <w:t>i dyskontowych</w:t>
      </w:r>
      <w:r w:rsidRPr="008D2C8A">
        <w:rPr>
          <w:rFonts w:cs="Calibri"/>
          <w:i/>
          <w:iCs/>
        </w:rPr>
        <w:t xml:space="preserve"> </w:t>
      </w:r>
      <w:r w:rsidRPr="008D2C8A">
        <w:rPr>
          <w:rFonts w:cs="Calibri"/>
        </w:rPr>
        <w:t>lub komunikatu zastępującego</w:t>
      </w:r>
      <w:r w:rsidR="00337B7D" w:rsidRPr="008D2C8A">
        <w:rPr>
          <w:rFonts w:cs="Calibri"/>
        </w:rPr>
        <w:t>.</w:t>
      </w:r>
    </w:p>
    <w:p w14:paraId="039AC91A" w14:textId="30EA8477" w:rsidR="00B62C63" w:rsidRPr="008D2C8A" w:rsidRDefault="00B62C63" w:rsidP="0044720A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suppressAutoHyphens/>
        <w:spacing w:before="120" w:after="120"/>
        <w:ind w:left="426" w:hanging="426"/>
        <w:contextualSpacing w:val="0"/>
        <w:jc w:val="both"/>
        <w:rPr>
          <w:rFonts w:cs="Calibri"/>
        </w:rPr>
      </w:pPr>
      <w:r w:rsidRPr="008D2C8A">
        <w:rPr>
          <w:rFonts w:cs="Calibri"/>
        </w:rPr>
        <w:t xml:space="preserve">Oprocentowanie Pożyczki korzystniejsze niż rynkowe jest stałe w całym okresie jej obowiązywania </w:t>
      </w:r>
      <w:r w:rsidR="00EA4AC1">
        <w:rPr>
          <w:rFonts w:cs="Calibri"/>
        </w:rPr>
        <w:br/>
      </w:r>
      <w:r w:rsidRPr="008D2C8A">
        <w:rPr>
          <w:rFonts w:cs="Calibri"/>
        </w:rPr>
        <w:t xml:space="preserve">i jest ustalone (z zastrzeżeniem ust. </w:t>
      </w:r>
      <w:r w:rsidR="008863AF" w:rsidRPr="008D2C8A">
        <w:rPr>
          <w:rFonts w:cs="Calibri"/>
        </w:rPr>
        <w:t>4 i 5</w:t>
      </w:r>
      <w:r w:rsidRPr="008D2C8A">
        <w:rPr>
          <w:rFonts w:cs="Calibri"/>
        </w:rPr>
        <w:t xml:space="preserve">): </w:t>
      </w:r>
    </w:p>
    <w:p w14:paraId="6421A766" w14:textId="77777777" w:rsidR="00B62C63" w:rsidRPr="008D2C8A" w:rsidRDefault="00B62C63" w:rsidP="0044720A">
      <w:pPr>
        <w:pStyle w:val="Akapitzlist"/>
        <w:widowControl w:val="0"/>
        <w:numPr>
          <w:ilvl w:val="0"/>
          <w:numId w:val="15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 xml:space="preserve">na poziomie 2% w skali roku </w:t>
      </w:r>
    </w:p>
    <w:p w14:paraId="7A1FD80B" w14:textId="77777777" w:rsidR="00B62C63" w:rsidRPr="008D2C8A" w:rsidRDefault="00B62C63" w:rsidP="0044720A">
      <w:pPr>
        <w:pStyle w:val="Akapitzlist"/>
        <w:widowControl w:val="0"/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 xml:space="preserve">lub </w:t>
      </w:r>
    </w:p>
    <w:p w14:paraId="32B01A61" w14:textId="38166844" w:rsidR="00B62C63" w:rsidRPr="008D2C8A" w:rsidRDefault="00B62C63" w:rsidP="0044720A">
      <w:pPr>
        <w:pStyle w:val="Akapitzlist"/>
        <w:widowControl w:val="0"/>
        <w:numPr>
          <w:ilvl w:val="0"/>
          <w:numId w:val="15"/>
        </w:numPr>
        <w:suppressAutoHyphens/>
        <w:spacing w:before="120" w:after="120"/>
        <w:contextualSpacing w:val="0"/>
        <w:jc w:val="both"/>
        <w:rPr>
          <w:rFonts w:cs="Calibri"/>
        </w:rPr>
      </w:pPr>
      <w:r w:rsidRPr="008D2C8A">
        <w:rPr>
          <w:rFonts w:cs="Calibri"/>
        </w:rPr>
        <w:t xml:space="preserve">w wysokości stopy bazowej dla pożyczek udzielanych w złotych polskich z dnia udzielenia Pożyczki w przypadku obniżenia stopy bazowej określonej przez Komisję Europejską do poziomu poniżej 2%. </w:t>
      </w:r>
    </w:p>
    <w:p w14:paraId="376DD17E" w14:textId="0BE2DE95" w:rsidR="00B62C63" w:rsidRPr="008D2C8A" w:rsidRDefault="00B62C63" w:rsidP="0044720A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suppressAutoHyphens/>
        <w:spacing w:before="120" w:after="120"/>
        <w:ind w:left="426" w:hanging="426"/>
        <w:contextualSpacing w:val="0"/>
        <w:jc w:val="both"/>
        <w:rPr>
          <w:rFonts w:cs="Calibri"/>
        </w:rPr>
      </w:pPr>
      <w:r w:rsidRPr="008D2C8A">
        <w:rPr>
          <w:rFonts w:cs="Calibri"/>
        </w:rPr>
        <w:t xml:space="preserve">Oprocentowanie korzystniejsze niż rynkowe </w:t>
      </w:r>
      <w:r w:rsidR="00700368" w:rsidRPr="008D2C8A">
        <w:rPr>
          <w:rFonts w:cs="Calibri"/>
        </w:rPr>
        <w:t>Pożyczki przeznaczonej na I</w:t>
      </w:r>
      <w:r w:rsidRPr="008D2C8A">
        <w:rPr>
          <w:rFonts w:cs="Calibri"/>
        </w:rPr>
        <w:t>nwestycję</w:t>
      </w:r>
      <w:r w:rsidR="00700368" w:rsidRPr="008D2C8A">
        <w:rPr>
          <w:rFonts w:cs="Calibri"/>
        </w:rPr>
        <w:t xml:space="preserve"> Końcową</w:t>
      </w:r>
      <w:r w:rsidRPr="008D2C8A">
        <w:rPr>
          <w:rFonts w:cs="Calibri"/>
        </w:rPr>
        <w:t xml:space="preserve"> komplementarną do produktów turystycznych objętych wsparciem priorytetu 5. FEPW i/lub realizowaną przez firmę prowadzącą działalność nie dłużej niż 3 lata jest stałe w całym okresie jej obowiązywania i jest ustalone: </w:t>
      </w:r>
    </w:p>
    <w:p w14:paraId="0B0AB042" w14:textId="77777777" w:rsidR="00B62C63" w:rsidRPr="008D2C8A" w:rsidRDefault="00B62C63" w:rsidP="0044720A">
      <w:pPr>
        <w:pStyle w:val="Akapitzlist"/>
        <w:widowControl w:val="0"/>
        <w:numPr>
          <w:ilvl w:val="0"/>
          <w:numId w:val="16"/>
        </w:numPr>
        <w:suppressAutoHyphens/>
        <w:spacing w:before="120" w:after="120"/>
        <w:ind w:left="709"/>
        <w:contextualSpacing w:val="0"/>
        <w:jc w:val="both"/>
        <w:rPr>
          <w:rFonts w:cs="Calibri"/>
        </w:rPr>
      </w:pPr>
      <w:r w:rsidRPr="008D2C8A">
        <w:rPr>
          <w:rFonts w:cs="Calibri"/>
        </w:rPr>
        <w:t xml:space="preserve">na poziomie 1% w skali roku </w:t>
      </w:r>
    </w:p>
    <w:p w14:paraId="34189384" w14:textId="77777777" w:rsidR="00B62C63" w:rsidRPr="008D2C8A" w:rsidRDefault="00B62C63" w:rsidP="0044720A">
      <w:pPr>
        <w:pStyle w:val="Akapitzlist"/>
        <w:widowControl w:val="0"/>
        <w:suppressAutoHyphens/>
        <w:spacing w:before="120" w:after="120"/>
        <w:ind w:left="709"/>
        <w:contextualSpacing w:val="0"/>
        <w:jc w:val="both"/>
        <w:rPr>
          <w:rFonts w:cs="Calibri"/>
        </w:rPr>
      </w:pPr>
      <w:r w:rsidRPr="008D2C8A">
        <w:rPr>
          <w:rFonts w:cs="Calibri"/>
        </w:rPr>
        <w:t xml:space="preserve">lub </w:t>
      </w:r>
    </w:p>
    <w:p w14:paraId="2DE009FE" w14:textId="1981BC25" w:rsidR="00B62C63" w:rsidRPr="008D2C8A" w:rsidRDefault="00B62C63" w:rsidP="0044720A">
      <w:pPr>
        <w:pStyle w:val="Akapitzlist"/>
        <w:widowControl w:val="0"/>
        <w:numPr>
          <w:ilvl w:val="0"/>
          <w:numId w:val="16"/>
        </w:numPr>
        <w:suppressAutoHyphens/>
        <w:spacing w:before="120" w:after="120"/>
        <w:ind w:left="709"/>
        <w:contextualSpacing w:val="0"/>
        <w:jc w:val="both"/>
        <w:rPr>
          <w:rFonts w:cs="Calibri"/>
        </w:rPr>
      </w:pPr>
      <w:r w:rsidRPr="008D2C8A">
        <w:rPr>
          <w:rFonts w:cs="Calibri"/>
        </w:rPr>
        <w:lastRenderedPageBreak/>
        <w:t>w wysokości ½ stopy bazowej dla pożyczek udzielanych w złotych polskich z dnia udzielenia Pożyczki w przypadku obniżenia stopy bazowej określonej przez Komisję Europejską do poziomu poniżej 2%.</w:t>
      </w:r>
    </w:p>
    <w:p w14:paraId="0F28194D" w14:textId="6CFDE0CB" w:rsidR="00337B7D" w:rsidRPr="008D2C8A" w:rsidRDefault="009A0C30" w:rsidP="0044720A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suppressAutoHyphens/>
        <w:spacing w:before="120" w:after="120"/>
        <w:ind w:left="426" w:hanging="426"/>
        <w:contextualSpacing w:val="0"/>
        <w:jc w:val="both"/>
        <w:rPr>
          <w:rFonts w:cs="Calibri"/>
        </w:rPr>
      </w:pPr>
      <w:r w:rsidRPr="008D2C8A">
        <w:rPr>
          <w:rFonts w:cs="Calibri"/>
        </w:rPr>
        <w:t>Oprocentowanie o którym mowa w ust. 3</w:t>
      </w:r>
      <w:r w:rsidR="008863AF" w:rsidRPr="008D2C8A">
        <w:rPr>
          <w:rFonts w:cs="Calibri"/>
        </w:rPr>
        <w:t xml:space="preserve"> i 4</w:t>
      </w:r>
      <w:r w:rsidRPr="008D2C8A">
        <w:rPr>
          <w:rFonts w:cs="Calibri"/>
        </w:rPr>
        <w:t xml:space="preserve"> </w:t>
      </w:r>
      <w:r w:rsidR="00337B7D" w:rsidRPr="008D2C8A">
        <w:rPr>
          <w:rFonts w:cs="Calibri"/>
        </w:rPr>
        <w:t xml:space="preserve">ustalane jest zgodnie z zasadami udzielania pomocy de </w:t>
      </w:r>
      <w:proofErr w:type="spellStart"/>
      <w:r w:rsidR="00337B7D" w:rsidRPr="008D2C8A">
        <w:rPr>
          <w:rFonts w:cs="Calibri"/>
        </w:rPr>
        <w:t>minimis</w:t>
      </w:r>
      <w:proofErr w:type="spellEnd"/>
      <w:r w:rsidR="00337B7D" w:rsidRPr="008D2C8A">
        <w:rPr>
          <w:rFonts w:cs="Calibri"/>
        </w:rPr>
        <w:t xml:space="preserve"> </w:t>
      </w:r>
      <w:r w:rsidR="005B5E8E" w:rsidRPr="008D2C8A">
        <w:rPr>
          <w:rFonts w:cs="Calibri"/>
        </w:rPr>
        <w:t>przewidzianymi</w:t>
      </w:r>
      <w:r w:rsidR="00337B7D" w:rsidRPr="008D2C8A">
        <w:rPr>
          <w:rFonts w:cs="Calibri"/>
        </w:rPr>
        <w:t xml:space="preserve"> w Rozporządzeniu Komisji (UE) </w:t>
      </w:r>
      <w:r w:rsidR="00791BA8" w:rsidRPr="00C346F8">
        <w:rPr>
          <w:rFonts w:cs="Calibri"/>
        </w:rPr>
        <w:t>2023/2831 z dnia 13 grudnia 2023 r.</w:t>
      </w:r>
      <w:r w:rsidR="00791BA8">
        <w:rPr>
          <w:rFonts w:cs="Calibri"/>
        </w:rPr>
        <w:t xml:space="preserve"> </w:t>
      </w:r>
      <w:r w:rsidR="00337B7D" w:rsidRPr="008D2C8A">
        <w:rPr>
          <w:rFonts w:cs="Calibri"/>
        </w:rPr>
        <w:t xml:space="preserve"> </w:t>
      </w:r>
      <w:r w:rsidR="00EA4AC1">
        <w:rPr>
          <w:rFonts w:cs="Calibri"/>
        </w:rPr>
        <w:br/>
      </w:r>
      <w:r w:rsidR="00337B7D" w:rsidRPr="008D2C8A">
        <w:rPr>
          <w:rFonts w:cs="Calibri"/>
        </w:rPr>
        <w:t xml:space="preserve">w sprawie stosowania art. 107 i 108 Traktatu o funkcjonowaniu Unii Europejskiej do pomocy de </w:t>
      </w:r>
      <w:proofErr w:type="spellStart"/>
      <w:r w:rsidR="00337B7D" w:rsidRPr="008D2C8A">
        <w:rPr>
          <w:rFonts w:cs="Calibri"/>
        </w:rPr>
        <w:t>minimis</w:t>
      </w:r>
      <w:proofErr w:type="spellEnd"/>
      <w:r w:rsidR="00DE0F8D" w:rsidRPr="008D2C8A">
        <w:rPr>
          <w:rFonts w:cs="Calibri"/>
        </w:rPr>
        <w:t>.</w:t>
      </w:r>
    </w:p>
    <w:p w14:paraId="345532AA" w14:textId="019F03F7" w:rsidR="003C1B34" w:rsidRPr="008D2C8A" w:rsidRDefault="003C1B34" w:rsidP="0044720A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contextualSpacing w:val="0"/>
        <w:jc w:val="both"/>
        <w:rPr>
          <w:rFonts w:cs="Calibri"/>
        </w:rPr>
      </w:pPr>
      <w:r w:rsidRPr="008D2C8A">
        <w:rPr>
          <w:rFonts w:cs="Calibri"/>
        </w:rPr>
        <w:t xml:space="preserve">W przypadku niespełnienia przez </w:t>
      </w:r>
      <w:r w:rsidR="002F3374" w:rsidRPr="008D2C8A">
        <w:rPr>
          <w:rFonts w:cs="Calibri"/>
        </w:rPr>
        <w:t>Pożyczkobiorcę</w:t>
      </w:r>
      <w:r w:rsidRPr="008D2C8A">
        <w:rPr>
          <w:rFonts w:cs="Calibri"/>
        </w:rPr>
        <w:t xml:space="preserve"> jakiegokolwiek z warunków udzieleni</w:t>
      </w:r>
      <w:r w:rsidR="001F2491" w:rsidRPr="008D2C8A">
        <w:rPr>
          <w:rFonts w:cs="Calibri"/>
        </w:rPr>
        <w:t>a</w:t>
      </w:r>
      <w:r w:rsidRPr="008D2C8A">
        <w:rPr>
          <w:rFonts w:cs="Calibri"/>
        </w:rPr>
        <w:t xml:space="preserve"> pomocy de </w:t>
      </w:r>
      <w:proofErr w:type="spellStart"/>
      <w:r w:rsidRPr="008D2C8A">
        <w:rPr>
          <w:rFonts w:cs="Calibri"/>
        </w:rPr>
        <w:t>minimis</w:t>
      </w:r>
      <w:proofErr w:type="spellEnd"/>
      <w:r w:rsidR="00A32192" w:rsidRPr="008D2C8A">
        <w:rPr>
          <w:rFonts w:cs="Calibri"/>
        </w:rPr>
        <w:t>,</w:t>
      </w:r>
      <w:r w:rsidRPr="008D2C8A">
        <w:rPr>
          <w:rFonts w:cs="Calibri"/>
        </w:rPr>
        <w:t xml:space="preserve"> </w:t>
      </w:r>
      <w:r w:rsidR="001F2491" w:rsidRPr="008D2C8A">
        <w:rPr>
          <w:rFonts w:cs="Calibri"/>
        </w:rPr>
        <w:t xml:space="preserve">Pożyczka </w:t>
      </w:r>
      <w:r w:rsidRPr="008D2C8A">
        <w:rPr>
          <w:rFonts w:cs="Calibri"/>
        </w:rPr>
        <w:t>udzielan</w:t>
      </w:r>
      <w:r w:rsidR="001F2491" w:rsidRPr="008D2C8A">
        <w:rPr>
          <w:rFonts w:cs="Calibri"/>
        </w:rPr>
        <w:t>a</w:t>
      </w:r>
      <w:r w:rsidRPr="008D2C8A">
        <w:rPr>
          <w:rFonts w:cs="Calibri"/>
        </w:rPr>
        <w:t xml:space="preserve"> </w:t>
      </w:r>
      <w:r w:rsidR="001F2491" w:rsidRPr="008D2C8A">
        <w:rPr>
          <w:rFonts w:cs="Calibri"/>
        </w:rPr>
        <w:t xml:space="preserve">jest </w:t>
      </w:r>
      <w:r w:rsidRPr="008D2C8A">
        <w:rPr>
          <w:rFonts w:cs="Calibri"/>
        </w:rPr>
        <w:t>na zasadach rynkowych</w:t>
      </w:r>
      <w:r w:rsidR="003F06BC" w:rsidRPr="008D2C8A">
        <w:rPr>
          <w:rFonts w:cs="Calibri"/>
        </w:rPr>
        <w:t>, o ile pozwalają na to Zasady Kwalifikowalności</w:t>
      </w:r>
      <w:r w:rsidRPr="008D2C8A">
        <w:rPr>
          <w:rFonts w:cs="Calibri"/>
        </w:rPr>
        <w:t>.</w:t>
      </w:r>
    </w:p>
    <w:p w14:paraId="43857E1F" w14:textId="32B028A3" w:rsidR="00A32192" w:rsidRDefault="00496B8F" w:rsidP="0044720A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contextualSpacing w:val="0"/>
        <w:jc w:val="both"/>
        <w:rPr>
          <w:rFonts w:cs="Calibri"/>
        </w:rPr>
      </w:pPr>
      <w:r w:rsidRPr="008D2C8A">
        <w:rPr>
          <w:rFonts w:cs="Calibri"/>
        </w:rPr>
        <w:t xml:space="preserve">W ramach udzielanych Pożyczek nie występują opłaty związane z udzieleniem pożyczki i jej standardową obsługą. Czynności wykraczające poza ten zakres, przede wszystkim w przypadku niewywiązywania się przez </w:t>
      </w:r>
      <w:r w:rsidR="00676DC7" w:rsidRPr="008D2C8A">
        <w:rPr>
          <w:rFonts w:cs="Calibri"/>
        </w:rPr>
        <w:t>Pożyczkobiorcę</w:t>
      </w:r>
      <w:r w:rsidR="00497921" w:rsidRPr="008D2C8A">
        <w:rPr>
          <w:rFonts w:cs="Calibri"/>
        </w:rPr>
        <w:t xml:space="preserve"> z warunków u</w:t>
      </w:r>
      <w:r w:rsidRPr="008D2C8A">
        <w:rPr>
          <w:rFonts w:cs="Calibri"/>
        </w:rPr>
        <w:t xml:space="preserve">mowy </w:t>
      </w:r>
      <w:r w:rsidR="00497921" w:rsidRPr="008D2C8A">
        <w:rPr>
          <w:rFonts w:cs="Calibri"/>
        </w:rPr>
        <w:t>pożyczki</w:t>
      </w:r>
      <w:r w:rsidRPr="008D2C8A">
        <w:rPr>
          <w:rFonts w:cs="Calibri"/>
        </w:rPr>
        <w:t xml:space="preserve">, występowania zaległości </w:t>
      </w:r>
      <w:r w:rsidR="00EA4AC1">
        <w:rPr>
          <w:rFonts w:cs="Calibri"/>
        </w:rPr>
        <w:br/>
      </w:r>
      <w:r w:rsidRPr="008D2C8A">
        <w:rPr>
          <w:rFonts w:cs="Calibri"/>
        </w:rPr>
        <w:t xml:space="preserve">w spłacie, konieczności podejmowania działań windykacyjnych (zgodnie z postanowieniami </w:t>
      </w:r>
      <w:r w:rsidR="00497921" w:rsidRPr="008D2C8A">
        <w:rPr>
          <w:rFonts w:cs="Calibri"/>
        </w:rPr>
        <w:t>u</w:t>
      </w:r>
      <w:r w:rsidRPr="008D2C8A">
        <w:rPr>
          <w:rFonts w:cs="Calibri"/>
        </w:rPr>
        <w:t xml:space="preserve">mowy) mogą przyczynić się do wystąpienia dodatkowych kosztów po stronie </w:t>
      </w:r>
      <w:r w:rsidR="00497921" w:rsidRPr="008D2C8A">
        <w:rPr>
          <w:rFonts w:cs="Calibri"/>
        </w:rPr>
        <w:t>Pożyczkobiorcy</w:t>
      </w:r>
      <w:r w:rsidRPr="008D2C8A">
        <w:rPr>
          <w:rFonts w:cs="Calibri"/>
        </w:rPr>
        <w:t xml:space="preserve">. </w:t>
      </w:r>
    </w:p>
    <w:p w14:paraId="6B1C9D9C" w14:textId="77777777" w:rsidR="001D1565" w:rsidRPr="006A4442" w:rsidRDefault="001D1565" w:rsidP="001D1565">
      <w:pPr>
        <w:tabs>
          <w:tab w:val="num" w:pos="426"/>
        </w:tabs>
        <w:spacing w:before="120" w:after="120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</w:tblGrid>
      <w:tr w:rsidR="001D1565" w:rsidRPr="006A4442" w14:paraId="350381CD" w14:textId="77777777" w:rsidTr="00211503">
        <w:tc>
          <w:tcPr>
            <w:tcW w:w="3212" w:type="dxa"/>
            <w:tcBorders>
              <w:bottom w:val="dotted" w:sz="4" w:space="0" w:color="auto"/>
            </w:tcBorders>
          </w:tcPr>
          <w:p w14:paraId="43D74875" w14:textId="77777777" w:rsidR="001D1565" w:rsidRPr="006A4442" w:rsidRDefault="001D1565" w:rsidP="00211503">
            <w:pPr>
              <w:tabs>
                <w:tab w:val="num" w:pos="426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D1565" w:rsidRPr="006A4442" w14:paraId="670BFC6E" w14:textId="77777777" w:rsidTr="00211503">
        <w:tc>
          <w:tcPr>
            <w:tcW w:w="3212" w:type="dxa"/>
            <w:tcBorders>
              <w:top w:val="dotted" w:sz="4" w:space="0" w:color="auto"/>
            </w:tcBorders>
          </w:tcPr>
          <w:p w14:paraId="62977262" w14:textId="48AE7FF2" w:rsidR="001D1565" w:rsidRPr="006A4442" w:rsidRDefault="001D1565" w:rsidP="00211503">
            <w:pPr>
              <w:tabs>
                <w:tab w:val="num" w:pos="426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6A4442">
              <w:rPr>
                <w:rFonts w:asciiTheme="minorHAnsi" w:eastAsiaTheme="minorHAnsi" w:hAnsiTheme="minorHAnsi" w:cstheme="minorHAnsi"/>
              </w:rPr>
              <w:t xml:space="preserve">Podpis </w:t>
            </w:r>
            <w:r>
              <w:rPr>
                <w:rFonts w:asciiTheme="minorHAnsi" w:eastAsiaTheme="minorHAnsi" w:hAnsiTheme="minorHAnsi" w:cstheme="minorHAnsi"/>
              </w:rPr>
              <w:t>Partnera Finansującego</w:t>
            </w:r>
          </w:p>
        </w:tc>
      </w:tr>
    </w:tbl>
    <w:p w14:paraId="51DFF834" w14:textId="77777777" w:rsidR="001D1565" w:rsidRPr="006A4442" w:rsidRDefault="001D1565" w:rsidP="001D1565">
      <w:pPr>
        <w:tabs>
          <w:tab w:val="num" w:pos="426"/>
        </w:tabs>
        <w:spacing w:before="120" w:after="120"/>
        <w:jc w:val="both"/>
        <w:rPr>
          <w:rFonts w:cstheme="minorHAnsi"/>
        </w:rPr>
      </w:pPr>
    </w:p>
    <w:p w14:paraId="1841C07B" w14:textId="77777777" w:rsidR="001D1565" w:rsidRPr="006A4442" w:rsidRDefault="001D1565" w:rsidP="001D1565">
      <w:pPr>
        <w:tabs>
          <w:tab w:val="num" w:pos="426"/>
        </w:tabs>
        <w:spacing w:before="120" w:after="120"/>
        <w:jc w:val="both"/>
        <w:rPr>
          <w:rFonts w:cstheme="minorHAnsi"/>
        </w:rPr>
      </w:pPr>
    </w:p>
    <w:p w14:paraId="2D81DD24" w14:textId="77777777" w:rsidR="001D1565" w:rsidRPr="006A4442" w:rsidRDefault="001D1565" w:rsidP="001D1565">
      <w:pPr>
        <w:tabs>
          <w:tab w:val="num" w:pos="426"/>
        </w:tabs>
        <w:spacing w:before="120" w:after="120"/>
        <w:jc w:val="both"/>
        <w:rPr>
          <w:rFonts w:cstheme="minorHAnsi"/>
        </w:rPr>
      </w:pPr>
      <w:r w:rsidRPr="006A4442">
        <w:rPr>
          <w:rFonts w:cstheme="minorHAnsi"/>
        </w:rPr>
        <w:t>Oświadczam, iż zapoznałem się z treścią niniejszego dokumentu:</w:t>
      </w:r>
    </w:p>
    <w:p w14:paraId="6A0D793B" w14:textId="77777777" w:rsidR="001D1565" w:rsidRPr="006A4442" w:rsidRDefault="001D1565" w:rsidP="001D1565">
      <w:pPr>
        <w:tabs>
          <w:tab w:val="num" w:pos="426"/>
        </w:tabs>
        <w:spacing w:before="120" w:after="120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2"/>
      </w:tblGrid>
      <w:tr w:rsidR="001D1565" w:rsidRPr="006A4442" w14:paraId="2938B0D1" w14:textId="77777777" w:rsidTr="00211503">
        <w:tc>
          <w:tcPr>
            <w:tcW w:w="3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1F0AD65" w14:textId="77777777" w:rsidR="001D1565" w:rsidRPr="006A4442" w:rsidRDefault="001D1565" w:rsidP="00211503">
            <w:pPr>
              <w:tabs>
                <w:tab w:val="num" w:pos="426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D1565" w:rsidRPr="006A4442" w14:paraId="0ECAEE3C" w14:textId="77777777" w:rsidTr="00211503">
        <w:tc>
          <w:tcPr>
            <w:tcW w:w="321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E41372" w14:textId="453940CB" w:rsidR="001D1565" w:rsidRPr="006A4442" w:rsidRDefault="001D1565" w:rsidP="00211503">
            <w:pPr>
              <w:tabs>
                <w:tab w:val="num" w:pos="426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6A4442">
              <w:rPr>
                <w:rFonts w:asciiTheme="minorHAnsi" w:eastAsiaTheme="minorHAnsi" w:hAnsiTheme="minorHAnsi" w:cstheme="minorHAnsi"/>
              </w:rPr>
              <w:t xml:space="preserve">Podpis </w:t>
            </w:r>
            <w:r>
              <w:rPr>
                <w:rFonts w:asciiTheme="minorHAnsi" w:eastAsiaTheme="minorHAnsi" w:hAnsiTheme="minorHAnsi" w:cstheme="minorHAnsi"/>
              </w:rPr>
              <w:t>Ostatecznego Odbiorcy</w:t>
            </w:r>
          </w:p>
        </w:tc>
      </w:tr>
    </w:tbl>
    <w:p w14:paraId="1A2223FA" w14:textId="77777777" w:rsidR="001D1565" w:rsidRPr="006A4442" w:rsidRDefault="001D1565" w:rsidP="001D1565">
      <w:pPr>
        <w:tabs>
          <w:tab w:val="num" w:pos="426"/>
        </w:tabs>
        <w:spacing w:before="120" w:after="120"/>
        <w:jc w:val="both"/>
        <w:rPr>
          <w:rFonts w:cstheme="minorHAnsi"/>
        </w:rPr>
      </w:pPr>
    </w:p>
    <w:p w14:paraId="7780E18F" w14:textId="77777777" w:rsidR="001D1565" w:rsidRPr="001D1565" w:rsidRDefault="001D1565" w:rsidP="001D1565">
      <w:pPr>
        <w:widowControl w:val="0"/>
        <w:tabs>
          <w:tab w:val="num" w:pos="426"/>
        </w:tabs>
        <w:suppressAutoHyphens/>
        <w:spacing w:before="120" w:after="120"/>
        <w:jc w:val="both"/>
        <w:rPr>
          <w:rFonts w:cs="Calibri"/>
        </w:rPr>
      </w:pPr>
    </w:p>
    <w:sectPr w:rsidR="001D1565" w:rsidRPr="001D1565" w:rsidSect="00FE509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1274" w:bottom="720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8AC2" w14:textId="77777777" w:rsidR="00FE5098" w:rsidRDefault="00FE5098" w:rsidP="00BA3860">
      <w:pPr>
        <w:spacing w:after="0" w:line="240" w:lineRule="auto"/>
      </w:pPr>
      <w:r>
        <w:separator/>
      </w:r>
    </w:p>
  </w:endnote>
  <w:endnote w:type="continuationSeparator" w:id="0">
    <w:p w14:paraId="14E9B3E9" w14:textId="77777777" w:rsidR="00FE5098" w:rsidRDefault="00FE5098" w:rsidP="00BA3860">
      <w:pPr>
        <w:spacing w:after="0" w:line="240" w:lineRule="auto"/>
      </w:pPr>
      <w:r>
        <w:continuationSeparator/>
      </w:r>
    </w:p>
  </w:endnote>
  <w:endnote w:type="continuationNotice" w:id="1">
    <w:p w14:paraId="11256907" w14:textId="77777777" w:rsidR="00FE5098" w:rsidRDefault="00FE50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59338994"/>
  <w:p w14:paraId="36B5303F" w14:textId="77777777" w:rsidR="0044720A" w:rsidRPr="005001DF" w:rsidRDefault="0044720A" w:rsidP="0044720A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5001DF">
      <w:rPr>
        <w:rFonts w:ascii="Times New Roman" w:eastAsia="Times New Roman" w:hAnsi="Times New Roman"/>
        <w:sz w:val="24"/>
        <w:szCs w:val="24"/>
        <w:lang w:eastAsia="pl-PL"/>
      </w:rPr>
      <w:fldChar w:fldCharType="begin"/>
    </w:r>
    <w:r w:rsidRPr="005001DF">
      <w:rPr>
        <w:rFonts w:ascii="Times New Roman" w:eastAsia="Times New Roman" w:hAnsi="Times New Roman"/>
        <w:sz w:val="24"/>
        <w:szCs w:val="24"/>
        <w:lang w:eastAsia="pl-PL"/>
      </w:rPr>
      <w:instrText xml:space="preserve"> INCLUDEPICTURE "C:\\Users\\ewaga\\AppData\\Local\\Packages\\Microsoft.Windows.Photos_8wekyb3d8bbwe\\TempState\\ShareServiceTempFolder\\Zestaw logotypów 3 (Cz.B.).jpeg" \* MERGEFORMATINET </w:instrText>
    </w:r>
    <w:r w:rsidRPr="005001DF">
      <w:rPr>
        <w:rFonts w:ascii="Times New Roman" w:eastAsia="Times New Roman" w:hAnsi="Times New Roman"/>
        <w:sz w:val="24"/>
        <w:szCs w:val="24"/>
        <w:lang w:eastAsia="pl-PL"/>
      </w:rPr>
      <w:fldChar w:fldCharType="separate"/>
    </w:r>
    <w:r w:rsidR="00000000">
      <w:rPr>
        <w:rFonts w:ascii="Times New Roman" w:eastAsia="Times New Roman" w:hAnsi="Times New Roman"/>
        <w:sz w:val="24"/>
        <w:szCs w:val="24"/>
        <w:lang w:eastAsia="pl-PL"/>
      </w:rPr>
      <w:fldChar w:fldCharType="begin"/>
    </w:r>
    <w:r w:rsidR="00000000">
      <w:rPr>
        <w:rFonts w:ascii="Times New Roman" w:eastAsia="Times New Roman" w:hAnsi="Times New Roman"/>
        <w:sz w:val="24"/>
        <w:szCs w:val="24"/>
        <w:lang w:eastAsia="pl-PL"/>
      </w:rPr>
      <w:instrText xml:space="preserve"> INCLUDEPICTURE  "C:\\Users\\ewaga\\AppData\\Local\\Packages\\Microsoft.Windows.Photos_8wekyb3d8bbwe\\TempState\\ShareServiceTempFolder\\Zestaw logotypów 3 (Cz.B.).jpeg" \* MERGEFORMATINET </w:instrText>
    </w:r>
    <w:r w:rsidR="00000000">
      <w:rPr>
        <w:rFonts w:ascii="Times New Roman" w:eastAsia="Times New Roman" w:hAnsi="Times New Roman"/>
        <w:sz w:val="24"/>
        <w:szCs w:val="24"/>
        <w:lang w:eastAsia="pl-PL"/>
      </w:rPr>
      <w:fldChar w:fldCharType="separate"/>
    </w:r>
    <w:r w:rsidR="00EA4AC1">
      <w:rPr>
        <w:rFonts w:ascii="Times New Roman" w:eastAsia="Times New Roman" w:hAnsi="Times New Roman"/>
        <w:sz w:val="24"/>
        <w:szCs w:val="24"/>
        <w:lang w:eastAsia="pl-PL"/>
      </w:rPr>
      <w:pict w14:anchorId="46E76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0.5pt;height:46.5pt">
          <v:imagedata r:id="rId1" r:href="rId2"/>
        </v:shape>
      </w:pict>
    </w:r>
    <w:r w:rsidR="00000000">
      <w:rPr>
        <w:rFonts w:ascii="Times New Roman" w:eastAsia="Times New Roman" w:hAnsi="Times New Roman"/>
        <w:sz w:val="24"/>
        <w:szCs w:val="24"/>
        <w:lang w:eastAsia="pl-PL"/>
      </w:rPr>
      <w:fldChar w:fldCharType="end"/>
    </w:r>
    <w:r w:rsidRPr="005001DF">
      <w:rPr>
        <w:rFonts w:ascii="Times New Roman" w:eastAsia="Times New Roman" w:hAnsi="Times New Roman"/>
        <w:sz w:val="24"/>
        <w:szCs w:val="24"/>
        <w:lang w:eastAsia="pl-PL"/>
      </w:rPr>
      <w:fldChar w:fldCharType="end"/>
    </w:r>
    <w:bookmarkEnd w:id="3"/>
  </w:p>
  <w:p w14:paraId="7C5CD24B" w14:textId="710EC87C" w:rsidR="00EB7BDD" w:rsidRDefault="00EB7BDD" w:rsidP="005159F8">
    <w:pPr>
      <w:pStyle w:val="Stopka"/>
      <w:tabs>
        <w:tab w:val="clear" w:pos="4536"/>
        <w:tab w:val="clear" w:pos="9072"/>
        <w:tab w:val="left" w:pos="7230"/>
      </w:tabs>
      <w:jc w:val="center"/>
      <w:rPr>
        <w:noProof/>
        <w:sz w:val="20"/>
        <w:szCs w:val="20"/>
        <w:lang w:eastAsia="pl-PL"/>
      </w:rPr>
    </w:pPr>
  </w:p>
  <w:p w14:paraId="0FFC7FFF" w14:textId="53D50A62" w:rsidR="00480CFB" w:rsidRDefault="00DD0EEE" w:rsidP="009426B7">
    <w:pPr>
      <w:pStyle w:val="Stopka"/>
      <w:tabs>
        <w:tab w:val="clear" w:pos="4536"/>
        <w:tab w:val="clear" w:pos="9072"/>
        <w:tab w:val="left" w:pos="7230"/>
      </w:tabs>
      <w:jc w:val="right"/>
    </w:pPr>
    <w:r w:rsidRPr="00DD0EEE">
      <w:rPr>
        <w:sz w:val="24"/>
      </w:rPr>
      <w:t xml:space="preserve">Strona </w:t>
    </w:r>
    <w:r w:rsidRPr="00DD0EEE">
      <w:rPr>
        <w:b/>
        <w:bCs/>
        <w:sz w:val="24"/>
        <w:szCs w:val="24"/>
        <w:lang w:val="en-GB"/>
      </w:rPr>
      <w:fldChar w:fldCharType="begin"/>
    </w:r>
    <w:r w:rsidRPr="00DD0EEE">
      <w:rPr>
        <w:b/>
        <w:bCs/>
        <w:sz w:val="24"/>
        <w:lang w:val="en-GB"/>
      </w:rPr>
      <w:instrText>PAGE</w:instrText>
    </w:r>
    <w:r w:rsidRPr="00DD0EEE">
      <w:rPr>
        <w:b/>
        <w:bCs/>
        <w:sz w:val="24"/>
        <w:szCs w:val="24"/>
        <w:lang w:val="en-GB"/>
      </w:rPr>
      <w:fldChar w:fldCharType="separate"/>
    </w:r>
    <w:r w:rsidR="00C230DE">
      <w:rPr>
        <w:b/>
        <w:bCs/>
        <w:noProof/>
        <w:sz w:val="24"/>
        <w:lang w:val="en-GB"/>
      </w:rPr>
      <w:t>4</w:t>
    </w:r>
    <w:r w:rsidRPr="00DD0EEE">
      <w:rPr>
        <w:b/>
        <w:bCs/>
        <w:sz w:val="24"/>
        <w:szCs w:val="24"/>
        <w:lang w:val="en-GB"/>
      </w:rPr>
      <w:fldChar w:fldCharType="end"/>
    </w:r>
    <w:r w:rsidRPr="00DD0EEE">
      <w:rPr>
        <w:sz w:val="24"/>
      </w:rPr>
      <w:t xml:space="preserve"> z </w:t>
    </w:r>
    <w:r w:rsidRPr="00DD0EEE">
      <w:rPr>
        <w:b/>
        <w:bCs/>
        <w:sz w:val="24"/>
        <w:szCs w:val="24"/>
        <w:lang w:val="en-GB"/>
      </w:rPr>
      <w:fldChar w:fldCharType="begin"/>
    </w:r>
    <w:r w:rsidRPr="00DD0EEE">
      <w:rPr>
        <w:b/>
        <w:bCs/>
        <w:sz w:val="24"/>
        <w:lang w:val="en-GB"/>
      </w:rPr>
      <w:instrText>NUMPAGES</w:instrText>
    </w:r>
    <w:r w:rsidRPr="00DD0EEE">
      <w:rPr>
        <w:b/>
        <w:bCs/>
        <w:sz w:val="24"/>
        <w:szCs w:val="24"/>
        <w:lang w:val="en-GB"/>
      </w:rPr>
      <w:fldChar w:fldCharType="separate"/>
    </w:r>
    <w:r w:rsidR="00C230DE">
      <w:rPr>
        <w:b/>
        <w:bCs/>
        <w:noProof/>
        <w:sz w:val="24"/>
        <w:lang w:val="en-GB"/>
      </w:rPr>
      <w:t>7</w:t>
    </w:r>
    <w:r w:rsidRPr="00DD0EEE">
      <w:rPr>
        <w:b/>
        <w:bCs/>
        <w:sz w:val="24"/>
        <w:szCs w:val="24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B06F" w14:textId="26986A31" w:rsidR="0044720A" w:rsidRPr="005001DF" w:rsidRDefault="00EA4AC1" w:rsidP="0044720A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5001DF">
      <w:rPr>
        <w:rFonts w:ascii="Times New Roman" w:eastAsia="Times New Roman" w:hAnsi="Times New Roman"/>
        <w:sz w:val="24"/>
        <w:szCs w:val="24"/>
        <w:lang w:eastAsia="pl-PL"/>
      </w:rPr>
      <w:fldChar w:fldCharType="begin"/>
    </w:r>
    <w:r w:rsidRPr="005001DF">
      <w:rPr>
        <w:rFonts w:ascii="Times New Roman" w:eastAsia="Times New Roman" w:hAnsi="Times New Roman"/>
        <w:sz w:val="24"/>
        <w:szCs w:val="24"/>
        <w:lang w:eastAsia="pl-PL"/>
      </w:rPr>
      <w:instrText xml:space="preserve"> INCLUDEPICTURE "C:\\Users\\ewaga\\AppData\\Local\\Packages\\Microsoft.Windows.Photos_8wekyb3d8bbwe\\TempState\\ShareServiceTempFolder\\Zestaw logotypów 3 (Cz.B.).jpeg" \* MERGEFORMATINET </w:instrText>
    </w:r>
    <w:r w:rsidRPr="005001DF">
      <w:rPr>
        <w:rFonts w:ascii="Times New Roman" w:eastAsia="Times New Roman" w:hAnsi="Times New Roman"/>
        <w:sz w:val="24"/>
        <w:szCs w:val="24"/>
        <w:lang w:eastAsia="pl-PL"/>
      </w:rPr>
      <w:fldChar w:fldCharType="separate"/>
    </w:r>
    <w:r>
      <w:rPr>
        <w:rFonts w:ascii="Times New Roman" w:eastAsia="Times New Roman" w:hAnsi="Times New Roman"/>
        <w:sz w:val="24"/>
        <w:szCs w:val="24"/>
        <w:lang w:eastAsia="pl-PL"/>
      </w:rPr>
      <w:fldChar w:fldCharType="begin"/>
    </w:r>
    <w:r>
      <w:rPr>
        <w:rFonts w:ascii="Times New Roman" w:eastAsia="Times New Roman" w:hAnsi="Times New Roman"/>
        <w:sz w:val="24"/>
        <w:szCs w:val="24"/>
        <w:lang w:eastAsia="pl-PL"/>
      </w:rPr>
      <w:instrText xml:space="preserve"> INCLUDEPICTURE  "C:\\Users\\ewaga\\AppData\\Local\\Packages\\Microsoft.Windows.Photos_8wekyb3d8bbwe\\TempState\\ShareServiceTempFolder\\Zestaw logotypów 3 (Cz.B.).jpeg" \* MERGEFORMATINET </w:instrText>
    </w:r>
    <w:r>
      <w:rPr>
        <w:rFonts w:ascii="Times New Roman" w:eastAsia="Times New Roman" w:hAnsi="Times New Roman"/>
        <w:sz w:val="24"/>
        <w:szCs w:val="24"/>
        <w:lang w:eastAsia="pl-PL"/>
      </w:rPr>
      <w:fldChar w:fldCharType="separate"/>
    </w:r>
    <w:r>
      <w:rPr>
        <w:rFonts w:ascii="Times New Roman" w:eastAsia="Times New Roman" w:hAnsi="Times New Roman"/>
        <w:sz w:val="24"/>
        <w:szCs w:val="24"/>
        <w:lang w:eastAsia="pl-PL"/>
      </w:rPr>
      <w:pict w14:anchorId="5A7070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430.5pt;height:46.5pt">
          <v:imagedata r:id="rId2" r:href="rId1"/>
        </v:shape>
      </w:pict>
    </w:r>
    <w:r>
      <w:rPr>
        <w:rFonts w:ascii="Times New Roman" w:eastAsia="Times New Roman" w:hAnsi="Times New Roman"/>
        <w:sz w:val="24"/>
        <w:szCs w:val="24"/>
        <w:lang w:eastAsia="pl-PL"/>
      </w:rPr>
      <w:fldChar w:fldCharType="end"/>
    </w:r>
    <w:r w:rsidRPr="005001DF">
      <w:rPr>
        <w:rFonts w:ascii="Times New Roman" w:eastAsia="Times New Roman" w:hAnsi="Times New Roman"/>
        <w:sz w:val="24"/>
        <w:szCs w:val="24"/>
        <w:lang w:eastAsia="pl-PL"/>
      </w:rPr>
      <w:fldChar w:fldCharType="end"/>
    </w:r>
  </w:p>
  <w:p w14:paraId="405938F7" w14:textId="0268F412" w:rsidR="006E45EA" w:rsidRDefault="006E45EA" w:rsidP="006E45EA">
    <w:pPr>
      <w:pStyle w:val="Stopka"/>
      <w:tabs>
        <w:tab w:val="clear" w:pos="4536"/>
        <w:tab w:val="clear" w:pos="9072"/>
        <w:tab w:val="left" w:pos="7230"/>
      </w:tabs>
      <w:jc w:val="right"/>
    </w:pPr>
    <w:r w:rsidRPr="006E45EA">
      <w:rPr>
        <w:sz w:val="24"/>
      </w:rPr>
      <w:t xml:space="preserve"> </w:t>
    </w:r>
    <w:r w:rsidRPr="00DD0EEE">
      <w:rPr>
        <w:sz w:val="24"/>
      </w:rPr>
      <w:t xml:space="preserve">Strona </w:t>
    </w:r>
    <w:r w:rsidRPr="00DD0EEE">
      <w:rPr>
        <w:b/>
        <w:bCs/>
        <w:sz w:val="24"/>
        <w:szCs w:val="24"/>
        <w:lang w:val="en-GB"/>
      </w:rPr>
      <w:fldChar w:fldCharType="begin"/>
    </w:r>
    <w:r w:rsidRPr="00DD0EEE">
      <w:rPr>
        <w:b/>
        <w:bCs/>
        <w:sz w:val="24"/>
        <w:lang w:val="en-GB"/>
      </w:rPr>
      <w:instrText>PAGE</w:instrText>
    </w:r>
    <w:r w:rsidRPr="00DD0EEE">
      <w:rPr>
        <w:b/>
        <w:bCs/>
        <w:sz w:val="24"/>
        <w:szCs w:val="24"/>
        <w:lang w:val="en-GB"/>
      </w:rPr>
      <w:fldChar w:fldCharType="separate"/>
    </w:r>
    <w:r w:rsidR="00C230DE">
      <w:rPr>
        <w:b/>
        <w:bCs/>
        <w:noProof/>
        <w:sz w:val="24"/>
        <w:lang w:val="en-GB"/>
      </w:rPr>
      <w:t>1</w:t>
    </w:r>
    <w:r w:rsidRPr="00DD0EEE">
      <w:rPr>
        <w:b/>
        <w:bCs/>
        <w:sz w:val="24"/>
        <w:szCs w:val="24"/>
        <w:lang w:val="en-GB"/>
      </w:rPr>
      <w:fldChar w:fldCharType="end"/>
    </w:r>
    <w:r w:rsidRPr="00DD0EEE">
      <w:rPr>
        <w:sz w:val="24"/>
      </w:rPr>
      <w:t xml:space="preserve"> z </w:t>
    </w:r>
    <w:r w:rsidRPr="00DD0EEE">
      <w:rPr>
        <w:b/>
        <w:bCs/>
        <w:sz w:val="24"/>
        <w:szCs w:val="24"/>
        <w:lang w:val="en-GB"/>
      </w:rPr>
      <w:fldChar w:fldCharType="begin"/>
    </w:r>
    <w:r w:rsidRPr="00DD0EEE">
      <w:rPr>
        <w:b/>
        <w:bCs/>
        <w:sz w:val="24"/>
        <w:lang w:val="en-GB"/>
      </w:rPr>
      <w:instrText>NUMPAGES</w:instrText>
    </w:r>
    <w:r w:rsidRPr="00DD0EEE">
      <w:rPr>
        <w:b/>
        <w:bCs/>
        <w:sz w:val="24"/>
        <w:szCs w:val="24"/>
        <w:lang w:val="en-GB"/>
      </w:rPr>
      <w:fldChar w:fldCharType="separate"/>
    </w:r>
    <w:r w:rsidR="00C230DE">
      <w:rPr>
        <w:b/>
        <w:bCs/>
        <w:noProof/>
        <w:sz w:val="24"/>
        <w:lang w:val="en-GB"/>
      </w:rPr>
      <w:t>7</w:t>
    </w:r>
    <w:r w:rsidRPr="00DD0EEE">
      <w:rPr>
        <w:b/>
        <w:bCs/>
        <w:sz w:val="24"/>
        <w:szCs w:val="24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AA87" w14:textId="77777777" w:rsidR="00FE5098" w:rsidRDefault="00FE5098" w:rsidP="00BA3860">
      <w:pPr>
        <w:spacing w:after="0" w:line="240" w:lineRule="auto"/>
      </w:pPr>
      <w:r>
        <w:separator/>
      </w:r>
    </w:p>
  </w:footnote>
  <w:footnote w:type="continuationSeparator" w:id="0">
    <w:p w14:paraId="7173E90F" w14:textId="77777777" w:rsidR="00FE5098" w:rsidRDefault="00FE5098" w:rsidP="00BA3860">
      <w:pPr>
        <w:spacing w:after="0" w:line="240" w:lineRule="auto"/>
      </w:pPr>
      <w:r>
        <w:continuationSeparator/>
      </w:r>
    </w:p>
  </w:footnote>
  <w:footnote w:type="continuationNotice" w:id="1">
    <w:p w14:paraId="2F13E362" w14:textId="77777777" w:rsidR="00FE5098" w:rsidRDefault="00FE5098">
      <w:pPr>
        <w:spacing w:after="0" w:line="240" w:lineRule="auto"/>
      </w:pPr>
    </w:p>
  </w:footnote>
  <w:footnote w:id="2">
    <w:p w14:paraId="32DBDE5C" w14:textId="355C8379" w:rsidR="00A3072B" w:rsidRDefault="00A3072B">
      <w:pPr>
        <w:pStyle w:val="Tekstprzypisudolnego"/>
      </w:pPr>
      <w:r>
        <w:rPr>
          <w:rStyle w:val="Odwoanieprzypisudolnego"/>
        </w:rPr>
        <w:footnoteRef/>
      </w:r>
      <w:r w:rsidR="00931EE6">
        <w:t xml:space="preserve"> Polska W</w:t>
      </w:r>
      <w:r>
        <w:t>schodnia obejmuje obszar 6 województw: lubelskiego, podkarpackiego, podlaskiego, świętokrzyskiego, warmińsko-mazurskiego</w:t>
      </w:r>
      <w:r w:rsidR="00014548">
        <w:t xml:space="preserve"> i</w:t>
      </w:r>
      <w:r>
        <w:t xml:space="preserve"> </w:t>
      </w:r>
      <w:r w:rsidR="00920454">
        <w:t>regionalnej części województwa mazowieckiego (r</w:t>
      </w:r>
      <w:r w:rsidRPr="00A3072B">
        <w:t>egion stat</w:t>
      </w:r>
      <w:r w:rsidR="00920454">
        <w:t>ystyczny mazowiecki regionalny – NUTS-2</w:t>
      </w:r>
      <w:r w:rsidRPr="00A3072B">
        <w:t xml:space="preserve"> – to powiaty: ciechanowski, mławski, płoński, pułtuski, żuromiński, makowski, ostrołęcki, ostrowski, przasnyski, wyszkowski, m. Ostrołęka, białobrzeski, kozienicki, lipski, przysuski, radomski, szydłowiecki, zwoleński, m. Radom, gostyniński, płocki, sierpecki, m. Płock, garwoliński, siedlecki, łosicki, sokołowski, węgrowski, m. Siedlce, grójecki, sochaczewski, żyrardowski</w:t>
      </w:r>
      <w:r w:rsidR="00920454">
        <w:t>)</w:t>
      </w:r>
    </w:p>
  </w:footnote>
  <w:footnote w:id="3">
    <w:p w14:paraId="33C1CBA3" w14:textId="46E22787" w:rsidR="001A4985" w:rsidRDefault="001A49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4985">
        <w:t xml:space="preserve">  Branże pokrewne – wszelkiego rodzaju usługi z których potencjalnie mogą skorzystać turyści, bezpośrednio związane z miejscem lub obiektem odwiedzanym przez turystów. Będzie to np. działalność sportowa, rozrywkowa lub rekreacyjna – boiska, ujeżdżalnie, pływalnie, itp.</w:t>
      </w:r>
    </w:p>
  </w:footnote>
  <w:footnote w:id="4">
    <w:p w14:paraId="0BD4DD05" w14:textId="6BCFF6E5" w:rsidR="0044720A" w:rsidRPr="005001DF" w:rsidRDefault="0044720A" w:rsidP="00447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159413063"/>
    </w:p>
    <w:bookmarkEnd w:id="0"/>
    <w:p w14:paraId="0912106E" w14:textId="77777777" w:rsidR="000D6116" w:rsidRDefault="000D6116"/>
  </w:footnote>
  <w:footnote w:id="5">
    <w:p w14:paraId="60B37283" w14:textId="09B99DDA" w:rsidR="00371D27" w:rsidRDefault="00371D2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EBFC" w14:textId="771BCD6E" w:rsidR="00C230DE" w:rsidRPr="00EA4AC1" w:rsidRDefault="00C230DE" w:rsidP="00EA4AC1">
    <w:pPr>
      <w:pStyle w:val="Nagwek"/>
      <w:ind w:left="5664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62DE" w14:textId="77777777" w:rsidR="00EA4AC1" w:rsidRPr="00EA4AC1" w:rsidRDefault="00EA4AC1" w:rsidP="00EA4AC1">
    <w:pPr>
      <w:pStyle w:val="Nagwek"/>
      <w:ind w:left="6372"/>
      <w:rPr>
        <w:sz w:val="16"/>
        <w:szCs w:val="16"/>
      </w:rPr>
    </w:pPr>
    <w:r w:rsidRPr="00EA4AC1">
      <w:rPr>
        <w:sz w:val="16"/>
        <w:szCs w:val="16"/>
      </w:rPr>
      <w:t>Załącznik nr 1 do Regulaminu udzielania przez Świętokrzyski Fundusz Rozwoju Spółka z ograniczoną odpowiedzialnością Pożyczek na rozwój turystyki dla mikro, małych i średnich przedsiębiorców</w:t>
    </w:r>
  </w:p>
  <w:p w14:paraId="26B0C19E" w14:textId="6538A465" w:rsidR="00F67CE3" w:rsidRDefault="00F67CE3" w:rsidP="00C230DE">
    <w:pPr>
      <w:pStyle w:val="Nagwek"/>
      <w:tabs>
        <w:tab w:val="clear" w:pos="4536"/>
        <w:tab w:val="clear" w:pos="9072"/>
        <w:tab w:val="center" w:pos="3402"/>
      </w:tabs>
      <w:spacing w:after="144"/>
      <w:ind w:left="340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7A5"/>
    <w:multiLevelType w:val="multilevel"/>
    <w:tmpl w:val="A5DEB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6" w:hanging="10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105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6" w:hanging="10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CA5D19"/>
    <w:multiLevelType w:val="hybridMultilevel"/>
    <w:tmpl w:val="CCFC9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373D"/>
    <w:multiLevelType w:val="hybridMultilevel"/>
    <w:tmpl w:val="647ED3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294E"/>
    <w:multiLevelType w:val="hybridMultilevel"/>
    <w:tmpl w:val="DF2650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B74A5"/>
    <w:multiLevelType w:val="hybridMultilevel"/>
    <w:tmpl w:val="6714F91E"/>
    <w:lvl w:ilvl="0" w:tplc="7D1AB93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8CD53D5"/>
    <w:multiLevelType w:val="hybridMultilevel"/>
    <w:tmpl w:val="4BA0C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C46B6"/>
    <w:multiLevelType w:val="hybridMultilevel"/>
    <w:tmpl w:val="45566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25560"/>
    <w:multiLevelType w:val="hybridMultilevel"/>
    <w:tmpl w:val="C952D3F0"/>
    <w:lvl w:ilvl="0" w:tplc="F0C20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B7F05"/>
    <w:multiLevelType w:val="hybridMultilevel"/>
    <w:tmpl w:val="25A22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23348"/>
    <w:multiLevelType w:val="hybridMultilevel"/>
    <w:tmpl w:val="390E24BC"/>
    <w:lvl w:ilvl="0" w:tplc="89F645E2">
      <w:start w:val="1"/>
      <w:numFmt w:val="decimal"/>
      <w:lvlText w:val="%1."/>
      <w:lvlJc w:val="left"/>
      <w:pPr>
        <w:ind w:left="2629" w:hanging="360"/>
      </w:pPr>
      <w:rPr>
        <w:rFonts w:ascii="Calibri" w:eastAsia="Calibri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40B34"/>
    <w:multiLevelType w:val="hybridMultilevel"/>
    <w:tmpl w:val="4BA0CDF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90785"/>
    <w:multiLevelType w:val="hybridMultilevel"/>
    <w:tmpl w:val="998E4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704B8"/>
    <w:multiLevelType w:val="hybridMultilevel"/>
    <w:tmpl w:val="56D0C276"/>
    <w:lvl w:ilvl="0" w:tplc="FDF0A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11557"/>
    <w:multiLevelType w:val="multilevel"/>
    <w:tmpl w:val="3C8E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6" w:hanging="10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105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6" w:hanging="10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5066CDA"/>
    <w:multiLevelType w:val="hybridMultilevel"/>
    <w:tmpl w:val="4BA0CDFE"/>
    <w:lvl w:ilvl="0" w:tplc="FFFFFFFF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49714E"/>
    <w:multiLevelType w:val="hybridMultilevel"/>
    <w:tmpl w:val="2F3A0D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76CD2"/>
    <w:multiLevelType w:val="hybridMultilevel"/>
    <w:tmpl w:val="FD8CA0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67B48AE"/>
    <w:multiLevelType w:val="hybridMultilevel"/>
    <w:tmpl w:val="830E56BC"/>
    <w:lvl w:ilvl="0" w:tplc="C0422D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7">
      <w:start w:val="1"/>
      <w:numFmt w:val="lowerLetter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3C3B5FD3"/>
    <w:multiLevelType w:val="hybridMultilevel"/>
    <w:tmpl w:val="D2A80B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62D32"/>
    <w:multiLevelType w:val="hybridMultilevel"/>
    <w:tmpl w:val="C952D3F0"/>
    <w:lvl w:ilvl="0" w:tplc="F0C20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77659"/>
    <w:multiLevelType w:val="hybridMultilevel"/>
    <w:tmpl w:val="21366094"/>
    <w:lvl w:ilvl="0" w:tplc="4120C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14A1F"/>
    <w:multiLevelType w:val="hybridMultilevel"/>
    <w:tmpl w:val="CCFC9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B26E9"/>
    <w:multiLevelType w:val="hybridMultilevel"/>
    <w:tmpl w:val="D2604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C78E8"/>
    <w:multiLevelType w:val="hybridMultilevel"/>
    <w:tmpl w:val="45566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16A47"/>
    <w:multiLevelType w:val="hybridMultilevel"/>
    <w:tmpl w:val="E558E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B02A6"/>
    <w:multiLevelType w:val="hybridMultilevel"/>
    <w:tmpl w:val="E558E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56390"/>
    <w:multiLevelType w:val="hybridMultilevel"/>
    <w:tmpl w:val="C97042F6"/>
    <w:lvl w:ilvl="0" w:tplc="4D6EF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35224F6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A73AB"/>
    <w:multiLevelType w:val="hybridMultilevel"/>
    <w:tmpl w:val="5FD85F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745A0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70FD6"/>
    <w:multiLevelType w:val="hybridMultilevel"/>
    <w:tmpl w:val="E558E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55924"/>
    <w:multiLevelType w:val="hybridMultilevel"/>
    <w:tmpl w:val="F0244C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9426771"/>
    <w:multiLevelType w:val="hybridMultilevel"/>
    <w:tmpl w:val="2974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C3E50"/>
    <w:multiLevelType w:val="hybridMultilevel"/>
    <w:tmpl w:val="1B669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76886"/>
    <w:multiLevelType w:val="hybridMultilevel"/>
    <w:tmpl w:val="0F323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FF5E88"/>
    <w:multiLevelType w:val="hybridMultilevel"/>
    <w:tmpl w:val="E558E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94F7B"/>
    <w:multiLevelType w:val="hybridMultilevel"/>
    <w:tmpl w:val="B46290D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8412C41"/>
    <w:multiLevelType w:val="hybridMultilevel"/>
    <w:tmpl w:val="E558E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7788A"/>
    <w:multiLevelType w:val="hybridMultilevel"/>
    <w:tmpl w:val="CCFC9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E3BDE"/>
    <w:multiLevelType w:val="hybridMultilevel"/>
    <w:tmpl w:val="E558E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5327C"/>
    <w:multiLevelType w:val="hybridMultilevel"/>
    <w:tmpl w:val="33A83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960383">
    <w:abstractNumId w:val="33"/>
  </w:num>
  <w:num w:numId="2" w16cid:durableId="460851565">
    <w:abstractNumId w:val="6"/>
  </w:num>
  <w:num w:numId="3" w16cid:durableId="1293945462">
    <w:abstractNumId w:val="39"/>
  </w:num>
  <w:num w:numId="4" w16cid:durableId="222299644">
    <w:abstractNumId w:val="26"/>
  </w:num>
  <w:num w:numId="5" w16cid:durableId="1748263229">
    <w:abstractNumId w:val="7"/>
  </w:num>
  <w:num w:numId="6" w16cid:durableId="51392846">
    <w:abstractNumId w:val="5"/>
  </w:num>
  <w:num w:numId="7" w16cid:durableId="487940975">
    <w:abstractNumId w:val="4"/>
  </w:num>
  <w:num w:numId="8" w16cid:durableId="1600869526">
    <w:abstractNumId w:val="14"/>
  </w:num>
  <w:num w:numId="9" w16cid:durableId="102118408">
    <w:abstractNumId w:val="10"/>
  </w:num>
  <w:num w:numId="10" w16cid:durableId="438183918">
    <w:abstractNumId w:val="13"/>
  </w:num>
  <w:num w:numId="11" w16cid:durableId="343826676">
    <w:abstractNumId w:val="38"/>
  </w:num>
  <w:num w:numId="12" w16cid:durableId="1126660454">
    <w:abstractNumId w:val="36"/>
  </w:num>
  <w:num w:numId="13" w16cid:durableId="1430194689">
    <w:abstractNumId w:val="32"/>
  </w:num>
  <w:num w:numId="14" w16cid:durableId="1849975732">
    <w:abstractNumId w:val="20"/>
  </w:num>
  <w:num w:numId="15" w16cid:durableId="1737896638">
    <w:abstractNumId w:val="37"/>
  </w:num>
  <w:num w:numId="16" w16cid:durableId="1650161329">
    <w:abstractNumId w:val="1"/>
  </w:num>
  <w:num w:numId="17" w16cid:durableId="822965148">
    <w:abstractNumId w:val="16"/>
  </w:num>
  <w:num w:numId="18" w16cid:durableId="1342898291">
    <w:abstractNumId w:val="21"/>
  </w:num>
  <w:num w:numId="19" w16cid:durableId="1388916195">
    <w:abstractNumId w:val="23"/>
  </w:num>
  <w:num w:numId="20" w16cid:durableId="988360045">
    <w:abstractNumId w:val="9"/>
  </w:num>
  <w:num w:numId="21" w16cid:durableId="653335013">
    <w:abstractNumId w:val="30"/>
  </w:num>
  <w:num w:numId="22" w16cid:durableId="1171917397">
    <w:abstractNumId w:val="22"/>
  </w:num>
  <w:num w:numId="23" w16cid:durableId="1425764379">
    <w:abstractNumId w:val="17"/>
  </w:num>
  <w:num w:numId="24" w16cid:durableId="1420830266">
    <w:abstractNumId w:val="35"/>
  </w:num>
  <w:num w:numId="25" w16cid:durableId="1601181248">
    <w:abstractNumId w:val="18"/>
  </w:num>
  <w:num w:numId="26" w16cid:durableId="997416709">
    <w:abstractNumId w:val="27"/>
  </w:num>
  <w:num w:numId="27" w16cid:durableId="1227372355">
    <w:abstractNumId w:val="2"/>
  </w:num>
  <w:num w:numId="28" w16cid:durableId="624039665">
    <w:abstractNumId w:val="3"/>
  </w:num>
  <w:num w:numId="29" w16cid:durableId="2062483779">
    <w:abstractNumId w:val="0"/>
  </w:num>
  <w:num w:numId="30" w16cid:durableId="2027780698">
    <w:abstractNumId w:val="15"/>
  </w:num>
  <w:num w:numId="31" w16cid:durableId="1269968284">
    <w:abstractNumId w:val="11"/>
  </w:num>
  <w:num w:numId="32" w16cid:durableId="604197040">
    <w:abstractNumId w:val="12"/>
  </w:num>
  <w:num w:numId="33" w16cid:durableId="1619069117">
    <w:abstractNumId w:val="25"/>
  </w:num>
  <w:num w:numId="34" w16cid:durableId="1792506277">
    <w:abstractNumId w:val="8"/>
  </w:num>
  <w:num w:numId="35" w16cid:durableId="35854233">
    <w:abstractNumId w:val="29"/>
  </w:num>
  <w:num w:numId="36" w16cid:durableId="1626736135">
    <w:abstractNumId w:val="34"/>
  </w:num>
  <w:num w:numId="37" w16cid:durableId="1963145828">
    <w:abstractNumId w:val="24"/>
  </w:num>
  <w:num w:numId="38" w16cid:durableId="2078087800">
    <w:abstractNumId w:val="19"/>
  </w:num>
  <w:num w:numId="39" w16cid:durableId="7224049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55533921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476"/>
    <w:rsid w:val="00002716"/>
    <w:rsid w:val="00002C11"/>
    <w:rsid w:val="000030C5"/>
    <w:rsid w:val="000033B0"/>
    <w:rsid w:val="00003DEB"/>
    <w:rsid w:val="00004427"/>
    <w:rsid w:val="00004BAA"/>
    <w:rsid w:val="00005405"/>
    <w:rsid w:val="00006028"/>
    <w:rsid w:val="000062AD"/>
    <w:rsid w:val="000072D8"/>
    <w:rsid w:val="00010873"/>
    <w:rsid w:val="00010BC2"/>
    <w:rsid w:val="000126F8"/>
    <w:rsid w:val="00013256"/>
    <w:rsid w:val="000136F8"/>
    <w:rsid w:val="00013F4E"/>
    <w:rsid w:val="00014548"/>
    <w:rsid w:val="00020FD4"/>
    <w:rsid w:val="000226AB"/>
    <w:rsid w:val="00022FD8"/>
    <w:rsid w:val="00026B79"/>
    <w:rsid w:val="00026F6E"/>
    <w:rsid w:val="00027378"/>
    <w:rsid w:val="000273F9"/>
    <w:rsid w:val="000317DC"/>
    <w:rsid w:val="00035F36"/>
    <w:rsid w:val="00037A39"/>
    <w:rsid w:val="00040A4A"/>
    <w:rsid w:val="00043356"/>
    <w:rsid w:val="00044468"/>
    <w:rsid w:val="0004501D"/>
    <w:rsid w:val="0004528D"/>
    <w:rsid w:val="000452EC"/>
    <w:rsid w:val="000479EB"/>
    <w:rsid w:val="00051012"/>
    <w:rsid w:val="000517E0"/>
    <w:rsid w:val="00051F49"/>
    <w:rsid w:val="00052D29"/>
    <w:rsid w:val="000536C3"/>
    <w:rsid w:val="00053C33"/>
    <w:rsid w:val="000546F0"/>
    <w:rsid w:val="00055219"/>
    <w:rsid w:val="00055DCA"/>
    <w:rsid w:val="000565E5"/>
    <w:rsid w:val="000575F4"/>
    <w:rsid w:val="000578F3"/>
    <w:rsid w:val="00060437"/>
    <w:rsid w:val="00061E7E"/>
    <w:rsid w:val="000666DE"/>
    <w:rsid w:val="000710BD"/>
    <w:rsid w:val="000719CA"/>
    <w:rsid w:val="00072D0F"/>
    <w:rsid w:val="0007713A"/>
    <w:rsid w:val="000775A6"/>
    <w:rsid w:val="00080497"/>
    <w:rsid w:val="000830D5"/>
    <w:rsid w:val="000838A4"/>
    <w:rsid w:val="00085031"/>
    <w:rsid w:val="00085D5A"/>
    <w:rsid w:val="000863B4"/>
    <w:rsid w:val="000902D9"/>
    <w:rsid w:val="00092696"/>
    <w:rsid w:val="000930A6"/>
    <w:rsid w:val="00093297"/>
    <w:rsid w:val="00093C29"/>
    <w:rsid w:val="00093D27"/>
    <w:rsid w:val="000941FB"/>
    <w:rsid w:val="00095E50"/>
    <w:rsid w:val="000975E2"/>
    <w:rsid w:val="00097D21"/>
    <w:rsid w:val="000A14C0"/>
    <w:rsid w:val="000A19FE"/>
    <w:rsid w:val="000A52A3"/>
    <w:rsid w:val="000A59AA"/>
    <w:rsid w:val="000A6AD2"/>
    <w:rsid w:val="000B0046"/>
    <w:rsid w:val="000B054B"/>
    <w:rsid w:val="000B0B13"/>
    <w:rsid w:val="000B1123"/>
    <w:rsid w:val="000B2D34"/>
    <w:rsid w:val="000B377E"/>
    <w:rsid w:val="000B4806"/>
    <w:rsid w:val="000B60CD"/>
    <w:rsid w:val="000B6674"/>
    <w:rsid w:val="000C1A1B"/>
    <w:rsid w:val="000C1AEB"/>
    <w:rsid w:val="000C1D62"/>
    <w:rsid w:val="000C2A30"/>
    <w:rsid w:val="000C2E56"/>
    <w:rsid w:val="000C350C"/>
    <w:rsid w:val="000C3F38"/>
    <w:rsid w:val="000D19F2"/>
    <w:rsid w:val="000D32EE"/>
    <w:rsid w:val="000D47AA"/>
    <w:rsid w:val="000D4A8F"/>
    <w:rsid w:val="000D600B"/>
    <w:rsid w:val="000D6116"/>
    <w:rsid w:val="000E0C8E"/>
    <w:rsid w:val="000E1000"/>
    <w:rsid w:val="000E11F1"/>
    <w:rsid w:val="000E2EEE"/>
    <w:rsid w:val="000E46D0"/>
    <w:rsid w:val="000E6136"/>
    <w:rsid w:val="000E727D"/>
    <w:rsid w:val="000F02C1"/>
    <w:rsid w:val="000F0DB5"/>
    <w:rsid w:val="000F0FE3"/>
    <w:rsid w:val="000F1DC2"/>
    <w:rsid w:val="000F27BA"/>
    <w:rsid w:val="000F295C"/>
    <w:rsid w:val="000F72F8"/>
    <w:rsid w:val="000F7537"/>
    <w:rsid w:val="00102E5E"/>
    <w:rsid w:val="0010318F"/>
    <w:rsid w:val="00103A20"/>
    <w:rsid w:val="00104E9D"/>
    <w:rsid w:val="0011161E"/>
    <w:rsid w:val="00112990"/>
    <w:rsid w:val="00114FDE"/>
    <w:rsid w:val="00115F40"/>
    <w:rsid w:val="0011644D"/>
    <w:rsid w:val="00121F2F"/>
    <w:rsid w:val="0012200A"/>
    <w:rsid w:val="00122920"/>
    <w:rsid w:val="0012340D"/>
    <w:rsid w:val="001265AA"/>
    <w:rsid w:val="00130E21"/>
    <w:rsid w:val="0013162B"/>
    <w:rsid w:val="001327DB"/>
    <w:rsid w:val="00134102"/>
    <w:rsid w:val="0013493F"/>
    <w:rsid w:val="00134F92"/>
    <w:rsid w:val="0013531F"/>
    <w:rsid w:val="0013551A"/>
    <w:rsid w:val="001403E0"/>
    <w:rsid w:val="00140ACB"/>
    <w:rsid w:val="001435DF"/>
    <w:rsid w:val="00143B24"/>
    <w:rsid w:val="001442D3"/>
    <w:rsid w:val="001458FD"/>
    <w:rsid w:val="001465A3"/>
    <w:rsid w:val="00147AAF"/>
    <w:rsid w:val="00152A52"/>
    <w:rsid w:val="00154ACF"/>
    <w:rsid w:val="001564A5"/>
    <w:rsid w:val="00156913"/>
    <w:rsid w:val="0015758E"/>
    <w:rsid w:val="00161492"/>
    <w:rsid w:val="00161757"/>
    <w:rsid w:val="00161C30"/>
    <w:rsid w:val="00163152"/>
    <w:rsid w:val="001636DF"/>
    <w:rsid w:val="0016599A"/>
    <w:rsid w:val="00165E65"/>
    <w:rsid w:val="001662A0"/>
    <w:rsid w:val="00166BB0"/>
    <w:rsid w:val="00166C13"/>
    <w:rsid w:val="00167E2F"/>
    <w:rsid w:val="00167F0A"/>
    <w:rsid w:val="00172C3A"/>
    <w:rsid w:val="00172E83"/>
    <w:rsid w:val="001732EA"/>
    <w:rsid w:val="00173CB5"/>
    <w:rsid w:val="00174500"/>
    <w:rsid w:val="001750CB"/>
    <w:rsid w:val="00177C52"/>
    <w:rsid w:val="00180AFB"/>
    <w:rsid w:val="00182814"/>
    <w:rsid w:val="00184628"/>
    <w:rsid w:val="001848BF"/>
    <w:rsid w:val="00185AB9"/>
    <w:rsid w:val="001873FC"/>
    <w:rsid w:val="0018786E"/>
    <w:rsid w:val="00190C2E"/>
    <w:rsid w:val="00192548"/>
    <w:rsid w:val="00192AC2"/>
    <w:rsid w:val="00192DD1"/>
    <w:rsid w:val="0019478C"/>
    <w:rsid w:val="00195FFC"/>
    <w:rsid w:val="001961B6"/>
    <w:rsid w:val="0019641C"/>
    <w:rsid w:val="0019659C"/>
    <w:rsid w:val="00196D68"/>
    <w:rsid w:val="001A127E"/>
    <w:rsid w:val="001A2567"/>
    <w:rsid w:val="001A2A5C"/>
    <w:rsid w:val="001A4392"/>
    <w:rsid w:val="001A4985"/>
    <w:rsid w:val="001A4E04"/>
    <w:rsid w:val="001A6554"/>
    <w:rsid w:val="001B0FAC"/>
    <w:rsid w:val="001B152A"/>
    <w:rsid w:val="001B1EA4"/>
    <w:rsid w:val="001B2F27"/>
    <w:rsid w:val="001B440A"/>
    <w:rsid w:val="001B49B1"/>
    <w:rsid w:val="001C1B65"/>
    <w:rsid w:val="001C20EE"/>
    <w:rsid w:val="001C26C2"/>
    <w:rsid w:val="001C3349"/>
    <w:rsid w:val="001C34B0"/>
    <w:rsid w:val="001C4B06"/>
    <w:rsid w:val="001C4F43"/>
    <w:rsid w:val="001C5DAD"/>
    <w:rsid w:val="001D0885"/>
    <w:rsid w:val="001D1565"/>
    <w:rsid w:val="001D1626"/>
    <w:rsid w:val="001D1C13"/>
    <w:rsid w:val="001D233E"/>
    <w:rsid w:val="001D2530"/>
    <w:rsid w:val="001D258D"/>
    <w:rsid w:val="001D2B35"/>
    <w:rsid w:val="001D353E"/>
    <w:rsid w:val="001D35D8"/>
    <w:rsid w:val="001D5417"/>
    <w:rsid w:val="001D7381"/>
    <w:rsid w:val="001E12C2"/>
    <w:rsid w:val="001E2409"/>
    <w:rsid w:val="001E5AE2"/>
    <w:rsid w:val="001E5DC5"/>
    <w:rsid w:val="001F0850"/>
    <w:rsid w:val="001F0ECD"/>
    <w:rsid w:val="001F11A6"/>
    <w:rsid w:val="001F142C"/>
    <w:rsid w:val="001F1684"/>
    <w:rsid w:val="001F2491"/>
    <w:rsid w:val="001F2731"/>
    <w:rsid w:val="001F4867"/>
    <w:rsid w:val="001F499D"/>
    <w:rsid w:val="001F520E"/>
    <w:rsid w:val="001F5624"/>
    <w:rsid w:val="001F7A84"/>
    <w:rsid w:val="001F7F8A"/>
    <w:rsid w:val="00200059"/>
    <w:rsid w:val="00203815"/>
    <w:rsid w:val="00204D27"/>
    <w:rsid w:val="00204E20"/>
    <w:rsid w:val="00211A08"/>
    <w:rsid w:val="002138FE"/>
    <w:rsid w:val="00214F58"/>
    <w:rsid w:val="00215E0E"/>
    <w:rsid w:val="0021654C"/>
    <w:rsid w:val="00216CDB"/>
    <w:rsid w:val="0021788B"/>
    <w:rsid w:val="00217FE7"/>
    <w:rsid w:val="00220E6E"/>
    <w:rsid w:val="002213D4"/>
    <w:rsid w:val="0022627D"/>
    <w:rsid w:val="00226B92"/>
    <w:rsid w:val="002305D2"/>
    <w:rsid w:val="00230836"/>
    <w:rsid w:val="00231AD2"/>
    <w:rsid w:val="00232644"/>
    <w:rsid w:val="002341C7"/>
    <w:rsid w:val="0023462C"/>
    <w:rsid w:val="002346C3"/>
    <w:rsid w:val="002354CF"/>
    <w:rsid w:val="002356F2"/>
    <w:rsid w:val="00237DCA"/>
    <w:rsid w:val="00237F1A"/>
    <w:rsid w:val="00241025"/>
    <w:rsid w:val="0024156E"/>
    <w:rsid w:val="00243BEF"/>
    <w:rsid w:val="002447AC"/>
    <w:rsid w:val="00245CBA"/>
    <w:rsid w:val="00247E13"/>
    <w:rsid w:val="002511F5"/>
    <w:rsid w:val="002533BB"/>
    <w:rsid w:val="00253427"/>
    <w:rsid w:val="0025584C"/>
    <w:rsid w:val="00255ADA"/>
    <w:rsid w:val="00255BA9"/>
    <w:rsid w:val="00255C71"/>
    <w:rsid w:val="00257186"/>
    <w:rsid w:val="0025748C"/>
    <w:rsid w:val="002601B9"/>
    <w:rsid w:val="002612FF"/>
    <w:rsid w:val="002639D9"/>
    <w:rsid w:val="002644B1"/>
    <w:rsid w:val="00264AC4"/>
    <w:rsid w:val="00265256"/>
    <w:rsid w:val="00265DDA"/>
    <w:rsid w:val="00265E3C"/>
    <w:rsid w:val="00266758"/>
    <w:rsid w:val="0026712B"/>
    <w:rsid w:val="00270BF4"/>
    <w:rsid w:val="00272B55"/>
    <w:rsid w:val="00274ED6"/>
    <w:rsid w:val="00276422"/>
    <w:rsid w:val="002771E9"/>
    <w:rsid w:val="002808FF"/>
    <w:rsid w:val="00280B0A"/>
    <w:rsid w:val="00282514"/>
    <w:rsid w:val="002826E5"/>
    <w:rsid w:val="002829E1"/>
    <w:rsid w:val="0028442F"/>
    <w:rsid w:val="002844AD"/>
    <w:rsid w:val="002845CA"/>
    <w:rsid w:val="0028528D"/>
    <w:rsid w:val="00286415"/>
    <w:rsid w:val="00286819"/>
    <w:rsid w:val="00286D53"/>
    <w:rsid w:val="00290358"/>
    <w:rsid w:val="0029049F"/>
    <w:rsid w:val="00292272"/>
    <w:rsid w:val="00293159"/>
    <w:rsid w:val="00294326"/>
    <w:rsid w:val="0029475F"/>
    <w:rsid w:val="00295365"/>
    <w:rsid w:val="00295991"/>
    <w:rsid w:val="002A041E"/>
    <w:rsid w:val="002A0C7D"/>
    <w:rsid w:val="002A1D1A"/>
    <w:rsid w:val="002A3ACC"/>
    <w:rsid w:val="002A4EF0"/>
    <w:rsid w:val="002A5706"/>
    <w:rsid w:val="002A7AD7"/>
    <w:rsid w:val="002A7FFE"/>
    <w:rsid w:val="002B11C1"/>
    <w:rsid w:val="002B2C3D"/>
    <w:rsid w:val="002B4B2E"/>
    <w:rsid w:val="002B6A7C"/>
    <w:rsid w:val="002C1A88"/>
    <w:rsid w:val="002C3442"/>
    <w:rsid w:val="002C5275"/>
    <w:rsid w:val="002C5EEF"/>
    <w:rsid w:val="002C7B0F"/>
    <w:rsid w:val="002D09DD"/>
    <w:rsid w:val="002D1C48"/>
    <w:rsid w:val="002D6475"/>
    <w:rsid w:val="002D7F17"/>
    <w:rsid w:val="002E0530"/>
    <w:rsid w:val="002E0F33"/>
    <w:rsid w:val="002E4692"/>
    <w:rsid w:val="002E5C88"/>
    <w:rsid w:val="002E6E8F"/>
    <w:rsid w:val="002F03F4"/>
    <w:rsid w:val="002F0D52"/>
    <w:rsid w:val="002F15C0"/>
    <w:rsid w:val="002F1AA4"/>
    <w:rsid w:val="002F2365"/>
    <w:rsid w:val="002F3374"/>
    <w:rsid w:val="002F7451"/>
    <w:rsid w:val="00300470"/>
    <w:rsid w:val="0030415C"/>
    <w:rsid w:val="00305049"/>
    <w:rsid w:val="003077F0"/>
    <w:rsid w:val="00311166"/>
    <w:rsid w:val="0031356C"/>
    <w:rsid w:val="003152BA"/>
    <w:rsid w:val="003156FE"/>
    <w:rsid w:val="0031748F"/>
    <w:rsid w:val="003177E4"/>
    <w:rsid w:val="003205F9"/>
    <w:rsid w:val="00321EA9"/>
    <w:rsid w:val="00322567"/>
    <w:rsid w:val="00325362"/>
    <w:rsid w:val="0032794E"/>
    <w:rsid w:val="00333542"/>
    <w:rsid w:val="00333757"/>
    <w:rsid w:val="003369D7"/>
    <w:rsid w:val="003375A1"/>
    <w:rsid w:val="00337B7D"/>
    <w:rsid w:val="00337D15"/>
    <w:rsid w:val="00337EAC"/>
    <w:rsid w:val="003408A3"/>
    <w:rsid w:val="00341148"/>
    <w:rsid w:val="0034174B"/>
    <w:rsid w:val="003419FE"/>
    <w:rsid w:val="00342319"/>
    <w:rsid w:val="00344C2E"/>
    <w:rsid w:val="00346A4B"/>
    <w:rsid w:val="003503E6"/>
    <w:rsid w:val="003505BD"/>
    <w:rsid w:val="00351209"/>
    <w:rsid w:val="0035498E"/>
    <w:rsid w:val="003562D8"/>
    <w:rsid w:val="00357A64"/>
    <w:rsid w:val="003619AC"/>
    <w:rsid w:val="00362972"/>
    <w:rsid w:val="00364012"/>
    <w:rsid w:val="00366631"/>
    <w:rsid w:val="00366755"/>
    <w:rsid w:val="00366FFA"/>
    <w:rsid w:val="0037035F"/>
    <w:rsid w:val="0037193D"/>
    <w:rsid w:val="00371D27"/>
    <w:rsid w:val="00375439"/>
    <w:rsid w:val="00375D38"/>
    <w:rsid w:val="003770AC"/>
    <w:rsid w:val="003773DF"/>
    <w:rsid w:val="00380643"/>
    <w:rsid w:val="003812EC"/>
    <w:rsid w:val="003837CF"/>
    <w:rsid w:val="00384E16"/>
    <w:rsid w:val="00385819"/>
    <w:rsid w:val="003864F6"/>
    <w:rsid w:val="003874B4"/>
    <w:rsid w:val="0038795D"/>
    <w:rsid w:val="0039020E"/>
    <w:rsid w:val="00390224"/>
    <w:rsid w:val="003905A5"/>
    <w:rsid w:val="00390C6C"/>
    <w:rsid w:val="00390DED"/>
    <w:rsid w:val="00393A90"/>
    <w:rsid w:val="00394558"/>
    <w:rsid w:val="003976F1"/>
    <w:rsid w:val="003A1452"/>
    <w:rsid w:val="003A34DB"/>
    <w:rsid w:val="003A6EEF"/>
    <w:rsid w:val="003B026E"/>
    <w:rsid w:val="003B16E7"/>
    <w:rsid w:val="003B59FB"/>
    <w:rsid w:val="003B609B"/>
    <w:rsid w:val="003B6C06"/>
    <w:rsid w:val="003B6E44"/>
    <w:rsid w:val="003C1451"/>
    <w:rsid w:val="003C14C7"/>
    <w:rsid w:val="003C1B34"/>
    <w:rsid w:val="003C2446"/>
    <w:rsid w:val="003C3484"/>
    <w:rsid w:val="003C4BEB"/>
    <w:rsid w:val="003C57A4"/>
    <w:rsid w:val="003C5D10"/>
    <w:rsid w:val="003C7F80"/>
    <w:rsid w:val="003D1574"/>
    <w:rsid w:val="003D16CC"/>
    <w:rsid w:val="003D1FDD"/>
    <w:rsid w:val="003D2885"/>
    <w:rsid w:val="003D3938"/>
    <w:rsid w:val="003D3B06"/>
    <w:rsid w:val="003D3F38"/>
    <w:rsid w:val="003D48A9"/>
    <w:rsid w:val="003D50CC"/>
    <w:rsid w:val="003D5A18"/>
    <w:rsid w:val="003D6269"/>
    <w:rsid w:val="003D672E"/>
    <w:rsid w:val="003D779C"/>
    <w:rsid w:val="003D77C6"/>
    <w:rsid w:val="003E18F6"/>
    <w:rsid w:val="003E4EB8"/>
    <w:rsid w:val="003E7044"/>
    <w:rsid w:val="003E789C"/>
    <w:rsid w:val="003E78C7"/>
    <w:rsid w:val="003F06BC"/>
    <w:rsid w:val="003F1B5D"/>
    <w:rsid w:val="003F2657"/>
    <w:rsid w:val="003F2A2A"/>
    <w:rsid w:val="003F3A1E"/>
    <w:rsid w:val="003F58EB"/>
    <w:rsid w:val="003F5E54"/>
    <w:rsid w:val="003F5FC4"/>
    <w:rsid w:val="003F6996"/>
    <w:rsid w:val="003F6DBA"/>
    <w:rsid w:val="00400591"/>
    <w:rsid w:val="00400805"/>
    <w:rsid w:val="00402411"/>
    <w:rsid w:val="004040CC"/>
    <w:rsid w:val="00407117"/>
    <w:rsid w:val="004115FE"/>
    <w:rsid w:val="00412333"/>
    <w:rsid w:val="0041286D"/>
    <w:rsid w:val="00412FB1"/>
    <w:rsid w:val="00413BDB"/>
    <w:rsid w:val="00414D64"/>
    <w:rsid w:val="00414ED9"/>
    <w:rsid w:val="00417BC4"/>
    <w:rsid w:val="00417CD9"/>
    <w:rsid w:val="00420799"/>
    <w:rsid w:val="00422796"/>
    <w:rsid w:val="0042698F"/>
    <w:rsid w:val="00427DC6"/>
    <w:rsid w:val="00427FBF"/>
    <w:rsid w:val="0043189E"/>
    <w:rsid w:val="00433892"/>
    <w:rsid w:val="00435608"/>
    <w:rsid w:val="00436888"/>
    <w:rsid w:val="004376CC"/>
    <w:rsid w:val="00441001"/>
    <w:rsid w:val="00441A43"/>
    <w:rsid w:val="00442315"/>
    <w:rsid w:val="004438FE"/>
    <w:rsid w:val="00445D37"/>
    <w:rsid w:val="00445D82"/>
    <w:rsid w:val="0044720A"/>
    <w:rsid w:val="00447A34"/>
    <w:rsid w:val="004501FA"/>
    <w:rsid w:val="00450B18"/>
    <w:rsid w:val="00451794"/>
    <w:rsid w:val="00451A01"/>
    <w:rsid w:val="00452C7E"/>
    <w:rsid w:val="00452D63"/>
    <w:rsid w:val="00455EEF"/>
    <w:rsid w:val="00456E74"/>
    <w:rsid w:val="00460770"/>
    <w:rsid w:val="00460C86"/>
    <w:rsid w:val="00462C9B"/>
    <w:rsid w:val="00462E12"/>
    <w:rsid w:val="00463238"/>
    <w:rsid w:val="00465AF8"/>
    <w:rsid w:val="00465DD6"/>
    <w:rsid w:val="0046673E"/>
    <w:rsid w:val="004676B5"/>
    <w:rsid w:val="00467BCB"/>
    <w:rsid w:val="00470856"/>
    <w:rsid w:val="00470E46"/>
    <w:rsid w:val="00474436"/>
    <w:rsid w:val="00475C2E"/>
    <w:rsid w:val="00477AC0"/>
    <w:rsid w:val="004806E7"/>
    <w:rsid w:val="00480CFB"/>
    <w:rsid w:val="00483BE0"/>
    <w:rsid w:val="00484263"/>
    <w:rsid w:val="00484575"/>
    <w:rsid w:val="004866B2"/>
    <w:rsid w:val="00486BD1"/>
    <w:rsid w:val="004913CC"/>
    <w:rsid w:val="00491545"/>
    <w:rsid w:val="0049265B"/>
    <w:rsid w:val="00493ED5"/>
    <w:rsid w:val="00494829"/>
    <w:rsid w:val="00496B8F"/>
    <w:rsid w:val="00497921"/>
    <w:rsid w:val="00497D40"/>
    <w:rsid w:val="004A07D3"/>
    <w:rsid w:val="004A0B15"/>
    <w:rsid w:val="004A1C6A"/>
    <w:rsid w:val="004A1C98"/>
    <w:rsid w:val="004A1EA9"/>
    <w:rsid w:val="004A2F25"/>
    <w:rsid w:val="004A44A5"/>
    <w:rsid w:val="004A6789"/>
    <w:rsid w:val="004B124B"/>
    <w:rsid w:val="004B22CA"/>
    <w:rsid w:val="004B337C"/>
    <w:rsid w:val="004B5178"/>
    <w:rsid w:val="004B62EF"/>
    <w:rsid w:val="004B6FAC"/>
    <w:rsid w:val="004B7B32"/>
    <w:rsid w:val="004B7C13"/>
    <w:rsid w:val="004C294F"/>
    <w:rsid w:val="004C4625"/>
    <w:rsid w:val="004C5859"/>
    <w:rsid w:val="004C6971"/>
    <w:rsid w:val="004C6F0E"/>
    <w:rsid w:val="004D053A"/>
    <w:rsid w:val="004D105C"/>
    <w:rsid w:val="004D111D"/>
    <w:rsid w:val="004D3EB5"/>
    <w:rsid w:val="004D5928"/>
    <w:rsid w:val="004D5D31"/>
    <w:rsid w:val="004D6CDD"/>
    <w:rsid w:val="004D7430"/>
    <w:rsid w:val="004E1450"/>
    <w:rsid w:val="004E3816"/>
    <w:rsid w:val="004E3CF0"/>
    <w:rsid w:val="004E40BA"/>
    <w:rsid w:val="004E4E56"/>
    <w:rsid w:val="004E4F46"/>
    <w:rsid w:val="004E6D03"/>
    <w:rsid w:val="004F4478"/>
    <w:rsid w:val="004F77BF"/>
    <w:rsid w:val="00500A9C"/>
    <w:rsid w:val="00502053"/>
    <w:rsid w:val="00502D70"/>
    <w:rsid w:val="00504274"/>
    <w:rsid w:val="00504B4E"/>
    <w:rsid w:val="00504D14"/>
    <w:rsid w:val="00504F52"/>
    <w:rsid w:val="00505A7C"/>
    <w:rsid w:val="005078C3"/>
    <w:rsid w:val="0051110B"/>
    <w:rsid w:val="00512671"/>
    <w:rsid w:val="005159F8"/>
    <w:rsid w:val="00516E53"/>
    <w:rsid w:val="0052090F"/>
    <w:rsid w:val="00521386"/>
    <w:rsid w:val="00525198"/>
    <w:rsid w:val="0052723C"/>
    <w:rsid w:val="00527C0E"/>
    <w:rsid w:val="00532F17"/>
    <w:rsid w:val="00532FE4"/>
    <w:rsid w:val="0053358D"/>
    <w:rsid w:val="00534E51"/>
    <w:rsid w:val="005359CE"/>
    <w:rsid w:val="005370C6"/>
    <w:rsid w:val="00540426"/>
    <w:rsid w:val="005436F7"/>
    <w:rsid w:val="00543752"/>
    <w:rsid w:val="00543770"/>
    <w:rsid w:val="005443AF"/>
    <w:rsid w:val="0054646E"/>
    <w:rsid w:val="005465BE"/>
    <w:rsid w:val="00546A74"/>
    <w:rsid w:val="005517B9"/>
    <w:rsid w:val="0055197A"/>
    <w:rsid w:val="00551C05"/>
    <w:rsid w:val="00551F43"/>
    <w:rsid w:val="00552B4C"/>
    <w:rsid w:val="00554E1C"/>
    <w:rsid w:val="0055551A"/>
    <w:rsid w:val="00555740"/>
    <w:rsid w:val="005565E9"/>
    <w:rsid w:val="00556B13"/>
    <w:rsid w:val="00556D9A"/>
    <w:rsid w:val="00557000"/>
    <w:rsid w:val="00557BE7"/>
    <w:rsid w:val="00557BF6"/>
    <w:rsid w:val="00557F78"/>
    <w:rsid w:val="00560B36"/>
    <w:rsid w:val="005645F8"/>
    <w:rsid w:val="0056496A"/>
    <w:rsid w:val="00566DB0"/>
    <w:rsid w:val="005673D0"/>
    <w:rsid w:val="005701B2"/>
    <w:rsid w:val="00570F16"/>
    <w:rsid w:val="005718FA"/>
    <w:rsid w:val="005719A4"/>
    <w:rsid w:val="005720BA"/>
    <w:rsid w:val="005730CF"/>
    <w:rsid w:val="005733C6"/>
    <w:rsid w:val="005736AE"/>
    <w:rsid w:val="00575E4A"/>
    <w:rsid w:val="005762B7"/>
    <w:rsid w:val="0057754A"/>
    <w:rsid w:val="00577D73"/>
    <w:rsid w:val="00580A00"/>
    <w:rsid w:val="00583092"/>
    <w:rsid w:val="00584219"/>
    <w:rsid w:val="0058555C"/>
    <w:rsid w:val="005857F6"/>
    <w:rsid w:val="00586EE6"/>
    <w:rsid w:val="00587207"/>
    <w:rsid w:val="005874A5"/>
    <w:rsid w:val="00587FB8"/>
    <w:rsid w:val="0059088A"/>
    <w:rsid w:val="00590B14"/>
    <w:rsid w:val="00594F51"/>
    <w:rsid w:val="00597E8D"/>
    <w:rsid w:val="005A0320"/>
    <w:rsid w:val="005A0F04"/>
    <w:rsid w:val="005A1D78"/>
    <w:rsid w:val="005A41DA"/>
    <w:rsid w:val="005A5029"/>
    <w:rsid w:val="005A50A0"/>
    <w:rsid w:val="005A73C9"/>
    <w:rsid w:val="005A76A7"/>
    <w:rsid w:val="005B1A89"/>
    <w:rsid w:val="005B3514"/>
    <w:rsid w:val="005B403E"/>
    <w:rsid w:val="005B46B2"/>
    <w:rsid w:val="005B5A6E"/>
    <w:rsid w:val="005B5E2C"/>
    <w:rsid w:val="005B5E8E"/>
    <w:rsid w:val="005B64D9"/>
    <w:rsid w:val="005B69E0"/>
    <w:rsid w:val="005B6FE4"/>
    <w:rsid w:val="005B737E"/>
    <w:rsid w:val="005B7778"/>
    <w:rsid w:val="005C057F"/>
    <w:rsid w:val="005C227D"/>
    <w:rsid w:val="005C308A"/>
    <w:rsid w:val="005C40B6"/>
    <w:rsid w:val="005C47D0"/>
    <w:rsid w:val="005D1AA3"/>
    <w:rsid w:val="005D365C"/>
    <w:rsid w:val="005D37DE"/>
    <w:rsid w:val="005D5B40"/>
    <w:rsid w:val="005D7307"/>
    <w:rsid w:val="005D7C5C"/>
    <w:rsid w:val="005E0CB1"/>
    <w:rsid w:val="005E11F5"/>
    <w:rsid w:val="005E259A"/>
    <w:rsid w:val="005E3A0E"/>
    <w:rsid w:val="005E50A1"/>
    <w:rsid w:val="005E7723"/>
    <w:rsid w:val="005E7890"/>
    <w:rsid w:val="005E79B9"/>
    <w:rsid w:val="005F0927"/>
    <w:rsid w:val="005F2BA2"/>
    <w:rsid w:val="005F3EAE"/>
    <w:rsid w:val="005F4918"/>
    <w:rsid w:val="005F4AA7"/>
    <w:rsid w:val="005F4B72"/>
    <w:rsid w:val="005F4EFA"/>
    <w:rsid w:val="005F5F25"/>
    <w:rsid w:val="005F6AAB"/>
    <w:rsid w:val="005F757E"/>
    <w:rsid w:val="006006EF"/>
    <w:rsid w:val="00601FB9"/>
    <w:rsid w:val="00602461"/>
    <w:rsid w:val="00603373"/>
    <w:rsid w:val="00603503"/>
    <w:rsid w:val="00603605"/>
    <w:rsid w:val="0060557C"/>
    <w:rsid w:val="00605D03"/>
    <w:rsid w:val="00605D66"/>
    <w:rsid w:val="00606373"/>
    <w:rsid w:val="0060666A"/>
    <w:rsid w:val="00611D1D"/>
    <w:rsid w:val="00612DB6"/>
    <w:rsid w:val="00614CDD"/>
    <w:rsid w:val="006151E2"/>
    <w:rsid w:val="006213AC"/>
    <w:rsid w:val="00621514"/>
    <w:rsid w:val="0062383F"/>
    <w:rsid w:val="00623E3E"/>
    <w:rsid w:val="00623EAB"/>
    <w:rsid w:val="00626307"/>
    <w:rsid w:val="006265B3"/>
    <w:rsid w:val="0062700C"/>
    <w:rsid w:val="00631193"/>
    <w:rsid w:val="00631265"/>
    <w:rsid w:val="0063202C"/>
    <w:rsid w:val="00633EE7"/>
    <w:rsid w:val="006344E6"/>
    <w:rsid w:val="00634BB7"/>
    <w:rsid w:val="00634BCB"/>
    <w:rsid w:val="0063616F"/>
    <w:rsid w:val="00636B37"/>
    <w:rsid w:val="00637367"/>
    <w:rsid w:val="006373D8"/>
    <w:rsid w:val="0063753E"/>
    <w:rsid w:val="00640013"/>
    <w:rsid w:val="00640260"/>
    <w:rsid w:val="00640556"/>
    <w:rsid w:val="00640665"/>
    <w:rsid w:val="0064347E"/>
    <w:rsid w:val="00643AB7"/>
    <w:rsid w:val="006443C2"/>
    <w:rsid w:val="00644CFD"/>
    <w:rsid w:val="006507A9"/>
    <w:rsid w:val="00650BE8"/>
    <w:rsid w:val="006534E2"/>
    <w:rsid w:val="00653E64"/>
    <w:rsid w:val="006558FF"/>
    <w:rsid w:val="00655C9F"/>
    <w:rsid w:val="00656433"/>
    <w:rsid w:val="00656D33"/>
    <w:rsid w:val="00657EEE"/>
    <w:rsid w:val="006604C4"/>
    <w:rsid w:val="006618CA"/>
    <w:rsid w:val="00663BA8"/>
    <w:rsid w:val="00664B8F"/>
    <w:rsid w:val="00667DA2"/>
    <w:rsid w:val="00670763"/>
    <w:rsid w:val="00670B72"/>
    <w:rsid w:val="006717AF"/>
    <w:rsid w:val="00671C14"/>
    <w:rsid w:val="00672E84"/>
    <w:rsid w:val="0067303B"/>
    <w:rsid w:val="006745AB"/>
    <w:rsid w:val="00674FC4"/>
    <w:rsid w:val="00675EC4"/>
    <w:rsid w:val="00675F56"/>
    <w:rsid w:val="00676DC7"/>
    <w:rsid w:val="0067784B"/>
    <w:rsid w:val="006803CC"/>
    <w:rsid w:val="006809C4"/>
    <w:rsid w:val="0068375E"/>
    <w:rsid w:val="006839E1"/>
    <w:rsid w:val="00684527"/>
    <w:rsid w:val="006856FE"/>
    <w:rsid w:val="0068605D"/>
    <w:rsid w:val="00686462"/>
    <w:rsid w:val="00687B32"/>
    <w:rsid w:val="00691754"/>
    <w:rsid w:val="00691C29"/>
    <w:rsid w:val="00692701"/>
    <w:rsid w:val="00694FA2"/>
    <w:rsid w:val="00695BFD"/>
    <w:rsid w:val="006A0E3F"/>
    <w:rsid w:val="006A3156"/>
    <w:rsid w:val="006A50BE"/>
    <w:rsid w:val="006A566F"/>
    <w:rsid w:val="006B0C0D"/>
    <w:rsid w:val="006B133E"/>
    <w:rsid w:val="006B199D"/>
    <w:rsid w:val="006B19B6"/>
    <w:rsid w:val="006B1A34"/>
    <w:rsid w:val="006B2CB7"/>
    <w:rsid w:val="006B4680"/>
    <w:rsid w:val="006B4990"/>
    <w:rsid w:val="006B4B26"/>
    <w:rsid w:val="006B7F73"/>
    <w:rsid w:val="006C24E1"/>
    <w:rsid w:val="006C49C4"/>
    <w:rsid w:val="006C521A"/>
    <w:rsid w:val="006C69EF"/>
    <w:rsid w:val="006C7A63"/>
    <w:rsid w:val="006D02CA"/>
    <w:rsid w:val="006D1BB3"/>
    <w:rsid w:val="006D20F8"/>
    <w:rsid w:val="006D2687"/>
    <w:rsid w:val="006D437B"/>
    <w:rsid w:val="006D480A"/>
    <w:rsid w:val="006D5C4B"/>
    <w:rsid w:val="006D6340"/>
    <w:rsid w:val="006D652B"/>
    <w:rsid w:val="006E01AB"/>
    <w:rsid w:val="006E06F2"/>
    <w:rsid w:val="006E24E9"/>
    <w:rsid w:val="006E313B"/>
    <w:rsid w:val="006E39B9"/>
    <w:rsid w:val="006E3CBD"/>
    <w:rsid w:val="006E3D31"/>
    <w:rsid w:val="006E45EA"/>
    <w:rsid w:val="006E465E"/>
    <w:rsid w:val="006E5B20"/>
    <w:rsid w:val="006E640F"/>
    <w:rsid w:val="006F0A36"/>
    <w:rsid w:val="006F115A"/>
    <w:rsid w:val="006F2D5D"/>
    <w:rsid w:val="006F3107"/>
    <w:rsid w:val="006F3934"/>
    <w:rsid w:val="006F43F0"/>
    <w:rsid w:val="006F50A2"/>
    <w:rsid w:val="006F64C7"/>
    <w:rsid w:val="00700368"/>
    <w:rsid w:val="00700DAD"/>
    <w:rsid w:val="00704A6F"/>
    <w:rsid w:val="007050FD"/>
    <w:rsid w:val="007057A6"/>
    <w:rsid w:val="00706E1C"/>
    <w:rsid w:val="00712BC6"/>
    <w:rsid w:val="007133F1"/>
    <w:rsid w:val="00714570"/>
    <w:rsid w:val="0071479C"/>
    <w:rsid w:val="007147A0"/>
    <w:rsid w:val="0071538E"/>
    <w:rsid w:val="007153D4"/>
    <w:rsid w:val="0071553F"/>
    <w:rsid w:val="00716AB0"/>
    <w:rsid w:val="00716E55"/>
    <w:rsid w:val="00720802"/>
    <w:rsid w:val="00722B86"/>
    <w:rsid w:val="00723135"/>
    <w:rsid w:val="00723C65"/>
    <w:rsid w:val="00724BCA"/>
    <w:rsid w:val="00726F6E"/>
    <w:rsid w:val="00727FE2"/>
    <w:rsid w:val="00730601"/>
    <w:rsid w:val="00734EFC"/>
    <w:rsid w:val="00736A56"/>
    <w:rsid w:val="00737099"/>
    <w:rsid w:val="007402F9"/>
    <w:rsid w:val="007418CD"/>
    <w:rsid w:val="00742E25"/>
    <w:rsid w:val="007433CB"/>
    <w:rsid w:val="0074391D"/>
    <w:rsid w:val="00744A05"/>
    <w:rsid w:val="00745DA8"/>
    <w:rsid w:val="007462EC"/>
    <w:rsid w:val="007469EE"/>
    <w:rsid w:val="0075044C"/>
    <w:rsid w:val="00750C6F"/>
    <w:rsid w:val="00751017"/>
    <w:rsid w:val="00751DD1"/>
    <w:rsid w:val="007545DA"/>
    <w:rsid w:val="007545ED"/>
    <w:rsid w:val="00755021"/>
    <w:rsid w:val="007575A7"/>
    <w:rsid w:val="00757C24"/>
    <w:rsid w:val="00760805"/>
    <w:rsid w:val="0076119C"/>
    <w:rsid w:val="007612DD"/>
    <w:rsid w:val="00763355"/>
    <w:rsid w:val="00763CAA"/>
    <w:rsid w:val="00764D72"/>
    <w:rsid w:val="0076557D"/>
    <w:rsid w:val="00765F3A"/>
    <w:rsid w:val="007669A1"/>
    <w:rsid w:val="0076705C"/>
    <w:rsid w:val="007678C3"/>
    <w:rsid w:val="007726C8"/>
    <w:rsid w:val="00772B88"/>
    <w:rsid w:val="00773492"/>
    <w:rsid w:val="007734C9"/>
    <w:rsid w:val="00774960"/>
    <w:rsid w:val="00774C31"/>
    <w:rsid w:val="007763C1"/>
    <w:rsid w:val="00776629"/>
    <w:rsid w:val="00776D42"/>
    <w:rsid w:val="00776E8C"/>
    <w:rsid w:val="00777107"/>
    <w:rsid w:val="00777D3C"/>
    <w:rsid w:val="00783BBE"/>
    <w:rsid w:val="007866ED"/>
    <w:rsid w:val="00787024"/>
    <w:rsid w:val="00790093"/>
    <w:rsid w:val="00790D09"/>
    <w:rsid w:val="0079191F"/>
    <w:rsid w:val="00791BA8"/>
    <w:rsid w:val="00793B17"/>
    <w:rsid w:val="00794231"/>
    <w:rsid w:val="0079466E"/>
    <w:rsid w:val="00795A23"/>
    <w:rsid w:val="00795DA9"/>
    <w:rsid w:val="00795F31"/>
    <w:rsid w:val="00796123"/>
    <w:rsid w:val="007967B3"/>
    <w:rsid w:val="007972C6"/>
    <w:rsid w:val="00797487"/>
    <w:rsid w:val="007A042C"/>
    <w:rsid w:val="007A1398"/>
    <w:rsid w:val="007A21DF"/>
    <w:rsid w:val="007A2B1E"/>
    <w:rsid w:val="007A2CD5"/>
    <w:rsid w:val="007A2E3D"/>
    <w:rsid w:val="007A3161"/>
    <w:rsid w:val="007A3B51"/>
    <w:rsid w:val="007A3B55"/>
    <w:rsid w:val="007A50D7"/>
    <w:rsid w:val="007A67D7"/>
    <w:rsid w:val="007A6855"/>
    <w:rsid w:val="007A6FC4"/>
    <w:rsid w:val="007A78A1"/>
    <w:rsid w:val="007B18DF"/>
    <w:rsid w:val="007B1D2B"/>
    <w:rsid w:val="007B2837"/>
    <w:rsid w:val="007B30F7"/>
    <w:rsid w:val="007B5B95"/>
    <w:rsid w:val="007B6E29"/>
    <w:rsid w:val="007B70B0"/>
    <w:rsid w:val="007B7928"/>
    <w:rsid w:val="007C0273"/>
    <w:rsid w:val="007C0A1C"/>
    <w:rsid w:val="007C17A1"/>
    <w:rsid w:val="007C1B5D"/>
    <w:rsid w:val="007C1FFC"/>
    <w:rsid w:val="007C221A"/>
    <w:rsid w:val="007C3169"/>
    <w:rsid w:val="007C394B"/>
    <w:rsid w:val="007C3FA7"/>
    <w:rsid w:val="007C4396"/>
    <w:rsid w:val="007C627E"/>
    <w:rsid w:val="007C73F5"/>
    <w:rsid w:val="007C755E"/>
    <w:rsid w:val="007D247C"/>
    <w:rsid w:val="007D5504"/>
    <w:rsid w:val="007D6238"/>
    <w:rsid w:val="007E057D"/>
    <w:rsid w:val="007E1428"/>
    <w:rsid w:val="007E3BB7"/>
    <w:rsid w:val="007E4AD3"/>
    <w:rsid w:val="007E4C29"/>
    <w:rsid w:val="007E59D5"/>
    <w:rsid w:val="007E5DDF"/>
    <w:rsid w:val="007E76FB"/>
    <w:rsid w:val="007F1AC2"/>
    <w:rsid w:val="007F2244"/>
    <w:rsid w:val="007F3476"/>
    <w:rsid w:val="007F3F3D"/>
    <w:rsid w:val="007F4FE2"/>
    <w:rsid w:val="007F66B6"/>
    <w:rsid w:val="007F762C"/>
    <w:rsid w:val="007F77DE"/>
    <w:rsid w:val="00800041"/>
    <w:rsid w:val="00802E2C"/>
    <w:rsid w:val="008035FD"/>
    <w:rsid w:val="008048F6"/>
    <w:rsid w:val="00807633"/>
    <w:rsid w:val="00810DB4"/>
    <w:rsid w:val="00811FE0"/>
    <w:rsid w:val="00813F50"/>
    <w:rsid w:val="00814EFA"/>
    <w:rsid w:val="008150F9"/>
    <w:rsid w:val="00816445"/>
    <w:rsid w:val="00817FA8"/>
    <w:rsid w:val="00821CB5"/>
    <w:rsid w:val="008243CA"/>
    <w:rsid w:val="00826166"/>
    <w:rsid w:val="00827BA5"/>
    <w:rsid w:val="00832E3A"/>
    <w:rsid w:val="00835117"/>
    <w:rsid w:val="00835421"/>
    <w:rsid w:val="00840BE4"/>
    <w:rsid w:val="00847DA2"/>
    <w:rsid w:val="00851171"/>
    <w:rsid w:val="00853DB6"/>
    <w:rsid w:val="00853ED7"/>
    <w:rsid w:val="00854DE4"/>
    <w:rsid w:val="008561E8"/>
    <w:rsid w:val="0085753E"/>
    <w:rsid w:val="008612C8"/>
    <w:rsid w:val="00864AD4"/>
    <w:rsid w:val="00865FC4"/>
    <w:rsid w:val="00867137"/>
    <w:rsid w:val="00870A0C"/>
    <w:rsid w:val="00871F1F"/>
    <w:rsid w:val="008727A1"/>
    <w:rsid w:val="0087543C"/>
    <w:rsid w:val="008772A8"/>
    <w:rsid w:val="0088151A"/>
    <w:rsid w:val="0088213A"/>
    <w:rsid w:val="00882201"/>
    <w:rsid w:val="00883B79"/>
    <w:rsid w:val="00884E34"/>
    <w:rsid w:val="00885B63"/>
    <w:rsid w:val="008863AF"/>
    <w:rsid w:val="00886C73"/>
    <w:rsid w:val="00887451"/>
    <w:rsid w:val="00887723"/>
    <w:rsid w:val="00890ECA"/>
    <w:rsid w:val="00894447"/>
    <w:rsid w:val="0089561C"/>
    <w:rsid w:val="00895D05"/>
    <w:rsid w:val="00896A83"/>
    <w:rsid w:val="00897290"/>
    <w:rsid w:val="00897B41"/>
    <w:rsid w:val="008A0235"/>
    <w:rsid w:val="008A1DC5"/>
    <w:rsid w:val="008A2F0A"/>
    <w:rsid w:val="008A3869"/>
    <w:rsid w:val="008A5050"/>
    <w:rsid w:val="008A5CF1"/>
    <w:rsid w:val="008A5D03"/>
    <w:rsid w:val="008A663E"/>
    <w:rsid w:val="008B24BE"/>
    <w:rsid w:val="008B36EA"/>
    <w:rsid w:val="008C2675"/>
    <w:rsid w:val="008C2B29"/>
    <w:rsid w:val="008C3480"/>
    <w:rsid w:val="008C49C7"/>
    <w:rsid w:val="008C5757"/>
    <w:rsid w:val="008C6350"/>
    <w:rsid w:val="008C7EA7"/>
    <w:rsid w:val="008D0E38"/>
    <w:rsid w:val="008D243B"/>
    <w:rsid w:val="008D2C8A"/>
    <w:rsid w:val="008D57A8"/>
    <w:rsid w:val="008D5864"/>
    <w:rsid w:val="008D6546"/>
    <w:rsid w:val="008D7D44"/>
    <w:rsid w:val="008E129C"/>
    <w:rsid w:val="008E255A"/>
    <w:rsid w:val="008E3954"/>
    <w:rsid w:val="008E41BA"/>
    <w:rsid w:val="008E4FF8"/>
    <w:rsid w:val="008E5E33"/>
    <w:rsid w:val="008E744F"/>
    <w:rsid w:val="008F253D"/>
    <w:rsid w:val="008F4D47"/>
    <w:rsid w:val="008F7259"/>
    <w:rsid w:val="0090045A"/>
    <w:rsid w:val="00900D83"/>
    <w:rsid w:val="00900F1F"/>
    <w:rsid w:val="00902927"/>
    <w:rsid w:val="00903224"/>
    <w:rsid w:val="00904E4C"/>
    <w:rsid w:val="0090588E"/>
    <w:rsid w:val="009069D9"/>
    <w:rsid w:val="00906CA9"/>
    <w:rsid w:val="00910C6C"/>
    <w:rsid w:val="0091243B"/>
    <w:rsid w:val="009125A9"/>
    <w:rsid w:val="00914573"/>
    <w:rsid w:val="00914F5E"/>
    <w:rsid w:val="009157A4"/>
    <w:rsid w:val="00920454"/>
    <w:rsid w:val="00920613"/>
    <w:rsid w:val="0092350A"/>
    <w:rsid w:val="00923A36"/>
    <w:rsid w:val="00924266"/>
    <w:rsid w:val="00924BD5"/>
    <w:rsid w:val="00924D67"/>
    <w:rsid w:val="00925830"/>
    <w:rsid w:val="00925F8C"/>
    <w:rsid w:val="00926A56"/>
    <w:rsid w:val="009277A8"/>
    <w:rsid w:val="00927C22"/>
    <w:rsid w:val="00930C08"/>
    <w:rsid w:val="00931798"/>
    <w:rsid w:val="00931EE6"/>
    <w:rsid w:val="009321EF"/>
    <w:rsid w:val="00932CFC"/>
    <w:rsid w:val="0093346D"/>
    <w:rsid w:val="00935BB4"/>
    <w:rsid w:val="00935C3B"/>
    <w:rsid w:val="00941262"/>
    <w:rsid w:val="00941577"/>
    <w:rsid w:val="009418A5"/>
    <w:rsid w:val="009426B7"/>
    <w:rsid w:val="00942DF2"/>
    <w:rsid w:val="0094407B"/>
    <w:rsid w:val="0094417D"/>
    <w:rsid w:val="00944FA6"/>
    <w:rsid w:val="00946AFF"/>
    <w:rsid w:val="009470A1"/>
    <w:rsid w:val="00947ED0"/>
    <w:rsid w:val="00950B5D"/>
    <w:rsid w:val="00951184"/>
    <w:rsid w:val="00951F9B"/>
    <w:rsid w:val="00952798"/>
    <w:rsid w:val="0095298A"/>
    <w:rsid w:val="009533A0"/>
    <w:rsid w:val="00955C73"/>
    <w:rsid w:val="00955F52"/>
    <w:rsid w:val="009573C3"/>
    <w:rsid w:val="00957A68"/>
    <w:rsid w:val="009600FF"/>
    <w:rsid w:val="00960454"/>
    <w:rsid w:val="0096332C"/>
    <w:rsid w:val="00964000"/>
    <w:rsid w:val="009640D2"/>
    <w:rsid w:val="00964E20"/>
    <w:rsid w:val="009652D6"/>
    <w:rsid w:val="0097188B"/>
    <w:rsid w:val="0097411B"/>
    <w:rsid w:val="00974413"/>
    <w:rsid w:val="009755D5"/>
    <w:rsid w:val="00975A24"/>
    <w:rsid w:val="00977711"/>
    <w:rsid w:val="00981050"/>
    <w:rsid w:val="0098172F"/>
    <w:rsid w:val="00981886"/>
    <w:rsid w:val="0098437E"/>
    <w:rsid w:val="00985517"/>
    <w:rsid w:val="00986143"/>
    <w:rsid w:val="009861FA"/>
    <w:rsid w:val="0098739F"/>
    <w:rsid w:val="00987B33"/>
    <w:rsid w:val="009908B7"/>
    <w:rsid w:val="0099389C"/>
    <w:rsid w:val="00993BFE"/>
    <w:rsid w:val="00994CF4"/>
    <w:rsid w:val="00994D5D"/>
    <w:rsid w:val="009965A9"/>
    <w:rsid w:val="009A0C30"/>
    <w:rsid w:val="009A0DCC"/>
    <w:rsid w:val="009A254C"/>
    <w:rsid w:val="009A2865"/>
    <w:rsid w:val="009A29E0"/>
    <w:rsid w:val="009A5A6D"/>
    <w:rsid w:val="009A66E7"/>
    <w:rsid w:val="009B0E42"/>
    <w:rsid w:val="009B1995"/>
    <w:rsid w:val="009B2D5C"/>
    <w:rsid w:val="009B44EA"/>
    <w:rsid w:val="009B632B"/>
    <w:rsid w:val="009C0963"/>
    <w:rsid w:val="009C316E"/>
    <w:rsid w:val="009C4258"/>
    <w:rsid w:val="009C61FB"/>
    <w:rsid w:val="009C6570"/>
    <w:rsid w:val="009C7D88"/>
    <w:rsid w:val="009D21D4"/>
    <w:rsid w:val="009D2638"/>
    <w:rsid w:val="009D2763"/>
    <w:rsid w:val="009D2B00"/>
    <w:rsid w:val="009D3C38"/>
    <w:rsid w:val="009D5EA3"/>
    <w:rsid w:val="009E0272"/>
    <w:rsid w:val="009E03A5"/>
    <w:rsid w:val="009E062E"/>
    <w:rsid w:val="009E160B"/>
    <w:rsid w:val="009E1D45"/>
    <w:rsid w:val="009E2178"/>
    <w:rsid w:val="009E454B"/>
    <w:rsid w:val="009F04BE"/>
    <w:rsid w:val="009F1A9E"/>
    <w:rsid w:val="009F1B63"/>
    <w:rsid w:val="009F3181"/>
    <w:rsid w:val="009F34EC"/>
    <w:rsid w:val="009F6009"/>
    <w:rsid w:val="009F64BE"/>
    <w:rsid w:val="00A0187E"/>
    <w:rsid w:val="00A01A53"/>
    <w:rsid w:val="00A0219B"/>
    <w:rsid w:val="00A02D49"/>
    <w:rsid w:val="00A02EC7"/>
    <w:rsid w:val="00A03B99"/>
    <w:rsid w:val="00A04763"/>
    <w:rsid w:val="00A070E4"/>
    <w:rsid w:val="00A070F2"/>
    <w:rsid w:val="00A10A03"/>
    <w:rsid w:val="00A1118F"/>
    <w:rsid w:val="00A1317B"/>
    <w:rsid w:val="00A13741"/>
    <w:rsid w:val="00A138F0"/>
    <w:rsid w:val="00A139C1"/>
    <w:rsid w:val="00A148A4"/>
    <w:rsid w:val="00A15D66"/>
    <w:rsid w:val="00A16341"/>
    <w:rsid w:val="00A16F20"/>
    <w:rsid w:val="00A1744A"/>
    <w:rsid w:val="00A20742"/>
    <w:rsid w:val="00A21A5A"/>
    <w:rsid w:val="00A238FB"/>
    <w:rsid w:val="00A23C11"/>
    <w:rsid w:val="00A24218"/>
    <w:rsid w:val="00A2487C"/>
    <w:rsid w:val="00A258A9"/>
    <w:rsid w:val="00A26596"/>
    <w:rsid w:val="00A265FC"/>
    <w:rsid w:val="00A3072B"/>
    <w:rsid w:val="00A3157B"/>
    <w:rsid w:val="00A32192"/>
    <w:rsid w:val="00A326EB"/>
    <w:rsid w:val="00A32CF2"/>
    <w:rsid w:val="00A35927"/>
    <w:rsid w:val="00A36964"/>
    <w:rsid w:val="00A40AF0"/>
    <w:rsid w:val="00A4238B"/>
    <w:rsid w:val="00A42765"/>
    <w:rsid w:val="00A45933"/>
    <w:rsid w:val="00A45B3F"/>
    <w:rsid w:val="00A45FA8"/>
    <w:rsid w:val="00A46D10"/>
    <w:rsid w:val="00A47044"/>
    <w:rsid w:val="00A505ED"/>
    <w:rsid w:val="00A50FFE"/>
    <w:rsid w:val="00A51805"/>
    <w:rsid w:val="00A52321"/>
    <w:rsid w:val="00A536FD"/>
    <w:rsid w:val="00A542FC"/>
    <w:rsid w:val="00A57342"/>
    <w:rsid w:val="00A600A5"/>
    <w:rsid w:val="00A6134C"/>
    <w:rsid w:val="00A621E0"/>
    <w:rsid w:val="00A63F6C"/>
    <w:rsid w:val="00A66DC2"/>
    <w:rsid w:val="00A73298"/>
    <w:rsid w:val="00A7595F"/>
    <w:rsid w:val="00A775DE"/>
    <w:rsid w:val="00A77CF2"/>
    <w:rsid w:val="00A80D26"/>
    <w:rsid w:val="00A81D93"/>
    <w:rsid w:val="00A82D41"/>
    <w:rsid w:val="00A8383D"/>
    <w:rsid w:val="00A83E5C"/>
    <w:rsid w:val="00A84EF0"/>
    <w:rsid w:val="00A855C1"/>
    <w:rsid w:val="00A856B2"/>
    <w:rsid w:val="00A86019"/>
    <w:rsid w:val="00A87EA9"/>
    <w:rsid w:val="00A90057"/>
    <w:rsid w:val="00A905DE"/>
    <w:rsid w:val="00A9076C"/>
    <w:rsid w:val="00A94461"/>
    <w:rsid w:val="00A950ED"/>
    <w:rsid w:val="00A97C15"/>
    <w:rsid w:val="00AA0184"/>
    <w:rsid w:val="00AA0F7D"/>
    <w:rsid w:val="00AA1493"/>
    <w:rsid w:val="00AA1717"/>
    <w:rsid w:val="00AA3C95"/>
    <w:rsid w:val="00AA7622"/>
    <w:rsid w:val="00AB0257"/>
    <w:rsid w:val="00AB0266"/>
    <w:rsid w:val="00AB2CDC"/>
    <w:rsid w:val="00AB3B92"/>
    <w:rsid w:val="00AB4B58"/>
    <w:rsid w:val="00AB51C3"/>
    <w:rsid w:val="00AC04FD"/>
    <w:rsid w:val="00AC0D74"/>
    <w:rsid w:val="00AC14BD"/>
    <w:rsid w:val="00AC2248"/>
    <w:rsid w:val="00AC2550"/>
    <w:rsid w:val="00AC321C"/>
    <w:rsid w:val="00AC3C2C"/>
    <w:rsid w:val="00AC4AA1"/>
    <w:rsid w:val="00AC4C52"/>
    <w:rsid w:val="00AC7732"/>
    <w:rsid w:val="00AC7D88"/>
    <w:rsid w:val="00AD1A5D"/>
    <w:rsid w:val="00AD2517"/>
    <w:rsid w:val="00AD2E51"/>
    <w:rsid w:val="00AD3498"/>
    <w:rsid w:val="00AD500C"/>
    <w:rsid w:val="00AD5F82"/>
    <w:rsid w:val="00AE0005"/>
    <w:rsid w:val="00AE226F"/>
    <w:rsid w:val="00AE269C"/>
    <w:rsid w:val="00AE2F50"/>
    <w:rsid w:val="00AE3AF9"/>
    <w:rsid w:val="00AE5DA8"/>
    <w:rsid w:val="00AE5F94"/>
    <w:rsid w:val="00AE6C6D"/>
    <w:rsid w:val="00AE7DAF"/>
    <w:rsid w:val="00AE7E81"/>
    <w:rsid w:val="00AF0718"/>
    <w:rsid w:val="00AF0CC8"/>
    <w:rsid w:val="00AF16EC"/>
    <w:rsid w:val="00AF3199"/>
    <w:rsid w:val="00AF3582"/>
    <w:rsid w:val="00AF39A9"/>
    <w:rsid w:val="00AF4A61"/>
    <w:rsid w:val="00AF5159"/>
    <w:rsid w:val="00AF5377"/>
    <w:rsid w:val="00AF64F5"/>
    <w:rsid w:val="00AF721F"/>
    <w:rsid w:val="00B00410"/>
    <w:rsid w:val="00B02895"/>
    <w:rsid w:val="00B036B0"/>
    <w:rsid w:val="00B120A1"/>
    <w:rsid w:val="00B1230C"/>
    <w:rsid w:val="00B128DD"/>
    <w:rsid w:val="00B167FA"/>
    <w:rsid w:val="00B21964"/>
    <w:rsid w:val="00B23084"/>
    <w:rsid w:val="00B24BA7"/>
    <w:rsid w:val="00B252C5"/>
    <w:rsid w:val="00B25F8D"/>
    <w:rsid w:val="00B27D77"/>
    <w:rsid w:val="00B30D4F"/>
    <w:rsid w:val="00B31630"/>
    <w:rsid w:val="00B31B05"/>
    <w:rsid w:val="00B32944"/>
    <w:rsid w:val="00B366FD"/>
    <w:rsid w:val="00B36FC5"/>
    <w:rsid w:val="00B42C0F"/>
    <w:rsid w:val="00B45306"/>
    <w:rsid w:val="00B470B1"/>
    <w:rsid w:val="00B47B18"/>
    <w:rsid w:val="00B5155B"/>
    <w:rsid w:val="00B52AE7"/>
    <w:rsid w:val="00B52C24"/>
    <w:rsid w:val="00B542D6"/>
    <w:rsid w:val="00B56A77"/>
    <w:rsid w:val="00B6022E"/>
    <w:rsid w:val="00B60702"/>
    <w:rsid w:val="00B6141B"/>
    <w:rsid w:val="00B61A63"/>
    <w:rsid w:val="00B62064"/>
    <w:rsid w:val="00B623DD"/>
    <w:rsid w:val="00B62C63"/>
    <w:rsid w:val="00B63F11"/>
    <w:rsid w:val="00B64A71"/>
    <w:rsid w:val="00B66377"/>
    <w:rsid w:val="00B66EF1"/>
    <w:rsid w:val="00B722F0"/>
    <w:rsid w:val="00B76327"/>
    <w:rsid w:val="00B76DD1"/>
    <w:rsid w:val="00B77E7B"/>
    <w:rsid w:val="00B8014F"/>
    <w:rsid w:val="00B81FF5"/>
    <w:rsid w:val="00B82435"/>
    <w:rsid w:val="00B85B18"/>
    <w:rsid w:val="00B86CFC"/>
    <w:rsid w:val="00B904C3"/>
    <w:rsid w:val="00B90701"/>
    <w:rsid w:val="00B92FC7"/>
    <w:rsid w:val="00B93FCE"/>
    <w:rsid w:val="00B966A6"/>
    <w:rsid w:val="00B96886"/>
    <w:rsid w:val="00B97107"/>
    <w:rsid w:val="00B974DF"/>
    <w:rsid w:val="00B975C1"/>
    <w:rsid w:val="00BA1ABD"/>
    <w:rsid w:val="00BA24D8"/>
    <w:rsid w:val="00BA2F44"/>
    <w:rsid w:val="00BA3860"/>
    <w:rsid w:val="00BA401D"/>
    <w:rsid w:val="00BA511B"/>
    <w:rsid w:val="00BA5EB8"/>
    <w:rsid w:val="00BA5F2A"/>
    <w:rsid w:val="00BA6861"/>
    <w:rsid w:val="00BA798A"/>
    <w:rsid w:val="00BA7B86"/>
    <w:rsid w:val="00BB0739"/>
    <w:rsid w:val="00BB0EA7"/>
    <w:rsid w:val="00BB2509"/>
    <w:rsid w:val="00BB39BE"/>
    <w:rsid w:val="00BB3C67"/>
    <w:rsid w:val="00BB690E"/>
    <w:rsid w:val="00BB7AD4"/>
    <w:rsid w:val="00BB7BC1"/>
    <w:rsid w:val="00BC0815"/>
    <w:rsid w:val="00BC1F2A"/>
    <w:rsid w:val="00BC3728"/>
    <w:rsid w:val="00BC3C70"/>
    <w:rsid w:val="00BC4562"/>
    <w:rsid w:val="00BD0DCB"/>
    <w:rsid w:val="00BD3BEB"/>
    <w:rsid w:val="00BD4678"/>
    <w:rsid w:val="00BD6688"/>
    <w:rsid w:val="00BD7F77"/>
    <w:rsid w:val="00BE02E8"/>
    <w:rsid w:val="00BE0A50"/>
    <w:rsid w:val="00BE1995"/>
    <w:rsid w:val="00BE1B51"/>
    <w:rsid w:val="00BE37E0"/>
    <w:rsid w:val="00BE409A"/>
    <w:rsid w:val="00BE4321"/>
    <w:rsid w:val="00BE4573"/>
    <w:rsid w:val="00BE6C84"/>
    <w:rsid w:val="00BF2A88"/>
    <w:rsid w:val="00BF2FFC"/>
    <w:rsid w:val="00BF3377"/>
    <w:rsid w:val="00BF6093"/>
    <w:rsid w:val="00BF7019"/>
    <w:rsid w:val="00BF7041"/>
    <w:rsid w:val="00C011CF"/>
    <w:rsid w:val="00C01BEB"/>
    <w:rsid w:val="00C02D1A"/>
    <w:rsid w:val="00C037DF"/>
    <w:rsid w:val="00C040E3"/>
    <w:rsid w:val="00C046C0"/>
    <w:rsid w:val="00C05DBD"/>
    <w:rsid w:val="00C068F2"/>
    <w:rsid w:val="00C06DFD"/>
    <w:rsid w:val="00C06F1F"/>
    <w:rsid w:val="00C07026"/>
    <w:rsid w:val="00C1106E"/>
    <w:rsid w:val="00C1115F"/>
    <w:rsid w:val="00C12394"/>
    <w:rsid w:val="00C127C1"/>
    <w:rsid w:val="00C134A7"/>
    <w:rsid w:val="00C13735"/>
    <w:rsid w:val="00C16939"/>
    <w:rsid w:val="00C230DE"/>
    <w:rsid w:val="00C24F5E"/>
    <w:rsid w:val="00C270CC"/>
    <w:rsid w:val="00C274DC"/>
    <w:rsid w:val="00C27727"/>
    <w:rsid w:val="00C277F9"/>
    <w:rsid w:val="00C3333D"/>
    <w:rsid w:val="00C338AC"/>
    <w:rsid w:val="00C34167"/>
    <w:rsid w:val="00C34B02"/>
    <w:rsid w:val="00C34D50"/>
    <w:rsid w:val="00C34D7C"/>
    <w:rsid w:val="00C362E6"/>
    <w:rsid w:val="00C45623"/>
    <w:rsid w:val="00C47D98"/>
    <w:rsid w:val="00C47E53"/>
    <w:rsid w:val="00C522BB"/>
    <w:rsid w:val="00C52CEE"/>
    <w:rsid w:val="00C544F6"/>
    <w:rsid w:val="00C54F11"/>
    <w:rsid w:val="00C55797"/>
    <w:rsid w:val="00C55D2A"/>
    <w:rsid w:val="00C57599"/>
    <w:rsid w:val="00C57DC1"/>
    <w:rsid w:val="00C60B23"/>
    <w:rsid w:val="00C61F94"/>
    <w:rsid w:val="00C638D5"/>
    <w:rsid w:val="00C63BCD"/>
    <w:rsid w:val="00C643D6"/>
    <w:rsid w:val="00C65864"/>
    <w:rsid w:val="00C665A4"/>
    <w:rsid w:val="00C6707D"/>
    <w:rsid w:val="00C70A8B"/>
    <w:rsid w:val="00C70C76"/>
    <w:rsid w:val="00C71CC4"/>
    <w:rsid w:val="00C72366"/>
    <w:rsid w:val="00C72930"/>
    <w:rsid w:val="00C7365E"/>
    <w:rsid w:val="00C77609"/>
    <w:rsid w:val="00C77C7E"/>
    <w:rsid w:val="00C857B5"/>
    <w:rsid w:val="00C85855"/>
    <w:rsid w:val="00C875B5"/>
    <w:rsid w:val="00C87AFC"/>
    <w:rsid w:val="00C90806"/>
    <w:rsid w:val="00C92E85"/>
    <w:rsid w:val="00C9388A"/>
    <w:rsid w:val="00C94198"/>
    <w:rsid w:val="00C9443C"/>
    <w:rsid w:val="00C963BE"/>
    <w:rsid w:val="00C96C01"/>
    <w:rsid w:val="00CA141B"/>
    <w:rsid w:val="00CA4A65"/>
    <w:rsid w:val="00CA6F8F"/>
    <w:rsid w:val="00CA7363"/>
    <w:rsid w:val="00CB0854"/>
    <w:rsid w:val="00CB1AC9"/>
    <w:rsid w:val="00CB2422"/>
    <w:rsid w:val="00CB260F"/>
    <w:rsid w:val="00CB42DF"/>
    <w:rsid w:val="00CB455B"/>
    <w:rsid w:val="00CB6EBB"/>
    <w:rsid w:val="00CC16C9"/>
    <w:rsid w:val="00CC1E53"/>
    <w:rsid w:val="00CC3E90"/>
    <w:rsid w:val="00CC67CA"/>
    <w:rsid w:val="00CC706C"/>
    <w:rsid w:val="00CC79F6"/>
    <w:rsid w:val="00CD08D1"/>
    <w:rsid w:val="00CD19A6"/>
    <w:rsid w:val="00CD31A4"/>
    <w:rsid w:val="00CD385C"/>
    <w:rsid w:val="00CD4967"/>
    <w:rsid w:val="00CD5000"/>
    <w:rsid w:val="00CD570E"/>
    <w:rsid w:val="00CD5B1E"/>
    <w:rsid w:val="00CD6AE1"/>
    <w:rsid w:val="00CD7B31"/>
    <w:rsid w:val="00CD7EA0"/>
    <w:rsid w:val="00CE36D6"/>
    <w:rsid w:val="00CE58B4"/>
    <w:rsid w:val="00CE669A"/>
    <w:rsid w:val="00CF183C"/>
    <w:rsid w:val="00CF6465"/>
    <w:rsid w:val="00CF6C03"/>
    <w:rsid w:val="00D00E3E"/>
    <w:rsid w:val="00D01FD3"/>
    <w:rsid w:val="00D03D6A"/>
    <w:rsid w:val="00D05422"/>
    <w:rsid w:val="00D063AB"/>
    <w:rsid w:val="00D06864"/>
    <w:rsid w:val="00D06B36"/>
    <w:rsid w:val="00D103B6"/>
    <w:rsid w:val="00D11C86"/>
    <w:rsid w:val="00D12B3A"/>
    <w:rsid w:val="00D13C1C"/>
    <w:rsid w:val="00D153D6"/>
    <w:rsid w:val="00D16971"/>
    <w:rsid w:val="00D202AD"/>
    <w:rsid w:val="00D2095C"/>
    <w:rsid w:val="00D21328"/>
    <w:rsid w:val="00D21778"/>
    <w:rsid w:val="00D22136"/>
    <w:rsid w:val="00D2356F"/>
    <w:rsid w:val="00D24FE5"/>
    <w:rsid w:val="00D30604"/>
    <w:rsid w:val="00D30E85"/>
    <w:rsid w:val="00D31C1A"/>
    <w:rsid w:val="00D32D74"/>
    <w:rsid w:val="00D330E0"/>
    <w:rsid w:val="00D34F96"/>
    <w:rsid w:val="00D36ABB"/>
    <w:rsid w:val="00D377D1"/>
    <w:rsid w:val="00D37B44"/>
    <w:rsid w:val="00D41118"/>
    <w:rsid w:val="00D41189"/>
    <w:rsid w:val="00D413EC"/>
    <w:rsid w:val="00D41963"/>
    <w:rsid w:val="00D42BDE"/>
    <w:rsid w:val="00D44939"/>
    <w:rsid w:val="00D44A47"/>
    <w:rsid w:val="00D45DD7"/>
    <w:rsid w:val="00D50838"/>
    <w:rsid w:val="00D50C97"/>
    <w:rsid w:val="00D5182E"/>
    <w:rsid w:val="00D5338F"/>
    <w:rsid w:val="00D538C1"/>
    <w:rsid w:val="00D54BF0"/>
    <w:rsid w:val="00D55B08"/>
    <w:rsid w:val="00D56CE8"/>
    <w:rsid w:val="00D57216"/>
    <w:rsid w:val="00D57A53"/>
    <w:rsid w:val="00D60295"/>
    <w:rsid w:val="00D6227A"/>
    <w:rsid w:val="00D62F21"/>
    <w:rsid w:val="00D6349E"/>
    <w:rsid w:val="00D634B4"/>
    <w:rsid w:val="00D65B1B"/>
    <w:rsid w:val="00D65B37"/>
    <w:rsid w:val="00D65E2A"/>
    <w:rsid w:val="00D6653D"/>
    <w:rsid w:val="00D67104"/>
    <w:rsid w:val="00D6749B"/>
    <w:rsid w:val="00D71157"/>
    <w:rsid w:val="00D727AD"/>
    <w:rsid w:val="00D73C87"/>
    <w:rsid w:val="00D7409E"/>
    <w:rsid w:val="00D74734"/>
    <w:rsid w:val="00D774E7"/>
    <w:rsid w:val="00D8186A"/>
    <w:rsid w:val="00D82267"/>
    <w:rsid w:val="00D8236D"/>
    <w:rsid w:val="00D872E7"/>
    <w:rsid w:val="00D904DE"/>
    <w:rsid w:val="00D90782"/>
    <w:rsid w:val="00D92F31"/>
    <w:rsid w:val="00D948BC"/>
    <w:rsid w:val="00D949CB"/>
    <w:rsid w:val="00D94AF1"/>
    <w:rsid w:val="00D94B49"/>
    <w:rsid w:val="00D95379"/>
    <w:rsid w:val="00D954C3"/>
    <w:rsid w:val="00D96FDE"/>
    <w:rsid w:val="00D9756C"/>
    <w:rsid w:val="00DA416D"/>
    <w:rsid w:val="00DA512B"/>
    <w:rsid w:val="00DA55E1"/>
    <w:rsid w:val="00DA67C9"/>
    <w:rsid w:val="00DB1308"/>
    <w:rsid w:val="00DB15CA"/>
    <w:rsid w:val="00DB180D"/>
    <w:rsid w:val="00DB27BD"/>
    <w:rsid w:val="00DB39D1"/>
    <w:rsid w:val="00DB4A2A"/>
    <w:rsid w:val="00DB5A43"/>
    <w:rsid w:val="00DB64CF"/>
    <w:rsid w:val="00DC1310"/>
    <w:rsid w:val="00DC1D92"/>
    <w:rsid w:val="00DC39A2"/>
    <w:rsid w:val="00DC3B99"/>
    <w:rsid w:val="00DC3F14"/>
    <w:rsid w:val="00DC440B"/>
    <w:rsid w:val="00DD0EEE"/>
    <w:rsid w:val="00DD191E"/>
    <w:rsid w:val="00DD28AA"/>
    <w:rsid w:val="00DD382B"/>
    <w:rsid w:val="00DD3943"/>
    <w:rsid w:val="00DD3EC7"/>
    <w:rsid w:val="00DD510A"/>
    <w:rsid w:val="00DE0F8D"/>
    <w:rsid w:val="00DE1A54"/>
    <w:rsid w:val="00DE3004"/>
    <w:rsid w:val="00DE57E0"/>
    <w:rsid w:val="00DE79ED"/>
    <w:rsid w:val="00DE7B1F"/>
    <w:rsid w:val="00DF043D"/>
    <w:rsid w:val="00DF1740"/>
    <w:rsid w:val="00DF2235"/>
    <w:rsid w:val="00DF28CF"/>
    <w:rsid w:val="00DF3126"/>
    <w:rsid w:val="00DF3D76"/>
    <w:rsid w:val="00DF5C9F"/>
    <w:rsid w:val="00DF5CF3"/>
    <w:rsid w:val="00DF6911"/>
    <w:rsid w:val="00DF76E7"/>
    <w:rsid w:val="00E00DD4"/>
    <w:rsid w:val="00E01B55"/>
    <w:rsid w:val="00E01B9E"/>
    <w:rsid w:val="00E02A2E"/>
    <w:rsid w:val="00E06799"/>
    <w:rsid w:val="00E11083"/>
    <w:rsid w:val="00E132AD"/>
    <w:rsid w:val="00E14621"/>
    <w:rsid w:val="00E14788"/>
    <w:rsid w:val="00E14D91"/>
    <w:rsid w:val="00E154E1"/>
    <w:rsid w:val="00E15AE1"/>
    <w:rsid w:val="00E175C7"/>
    <w:rsid w:val="00E17A8E"/>
    <w:rsid w:val="00E227DA"/>
    <w:rsid w:val="00E22FA2"/>
    <w:rsid w:val="00E23CBB"/>
    <w:rsid w:val="00E25420"/>
    <w:rsid w:val="00E31950"/>
    <w:rsid w:val="00E3218D"/>
    <w:rsid w:val="00E32B01"/>
    <w:rsid w:val="00E34FDF"/>
    <w:rsid w:val="00E35053"/>
    <w:rsid w:val="00E36041"/>
    <w:rsid w:val="00E37B90"/>
    <w:rsid w:val="00E416FF"/>
    <w:rsid w:val="00E41DE3"/>
    <w:rsid w:val="00E50D31"/>
    <w:rsid w:val="00E5131D"/>
    <w:rsid w:val="00E5260F"/>
    <w:rsid w:val="00E529E7"/>
    <w:rsid w:val="00E541BD"/>
    <w:rsid w:val="00E5562E"/>
    <w:rsid w:val="00E556D0"/>
    <w:rsid w:val="00E55B4F"/>
    <w:rsid w:val="00E57233"/>
    <w:rsid w:val="00E57690"/>
    <w:rsid w:val="00E57A11"/>
    <w:rsid w:val="00E603A0"/>
    <w:rsid w:val="00E60F14"/>
    <w:rsid w:val="00E61527"/>
    <w:rsid w:val="00E630BD"/>
    <w:rsid w:val="00E64CA3"/>
    <w:rsid w:val="00E6577F"/>
    <w:rsid w:val="00E65D52"/>
    <w:rsid w:val="00E67B8A"/>
    <w:rsid w:val="00E71845"/>
    <w:rsid w:val="00E75B98"/>
    <w:rsid w:val="00E7617B"/>
    <w:rsid w:val="00E77EB6"/>
    <w:rsid w:val="00E80E4F"/>
    <w:rsid w:val="00E81C5D"/>
    <w:rsid w:val="00E85F1D"/>
    <w:rsid w:val="00E914DF"/>
    <w:rsid w:val="00EA0EF9"/>
    <w:rsid w:val="00EA16A7"/>
    <w:rsid w:val="00EA4A35"/>
    <w:rsid w:val="00EA4AC1"/>
    <w:rsid w:val="00EA5389"/>
    <w:rsid w:val="00EB037A"/>
    <w:rsid w:val="00EB09CC"/>
    <w:rsid w:val="00EB2075"/>
    <w:rsid w:val="00EB4A12"/>
    <w:rsid w:val="00EB5864"/>
    <w:rsid w:val="00EB696A"/>
    <w:rsid w:val="00EB76BB"/>
    <w:rsid w:val="00EB7A82"/>
    <w:rsid w:val="00EB7BDD"/>
    <w:rsid w:val="00EC0A36"/>
    <w:rsid w:val="00EC3622"/>
    <w:rsid w:val="00EC4FAB"/>
    <w:rsid w:val="00EC7A56"/>
    <w:rsid w:val="00EC7A6C"/>
    <w:rsid w:val="00ED28CB"/>
    <w:rsid w:val="00ED2ACF"/>
    <w:rsid w:val="00ED33BE"/>
    <w:rsid w:val="00ED4D35"/>
    <w:rsid w:val="00ED5655"/>
    <w:rsid w:val="00ED58AF"/>
    <w:rsid w:val="00ED77CA"/>
    <w:rsid w:val="00ED7EDB"/>
    <w:rsid w:val="00EE041E"/>
    <w:rsid w:val="00EE07F6"/>
    <w:rsid w:val="00EE0F97"/>
    <w:rsid w:val="00EE1DCB"/>
    <w:rsid w:val="00EE2193"/>
    <w:rsid w:val="00EE259D"/>
    <w:rsid w:val="00EE3716"/>
    <w:rsid w:val="00EE3CDE"/>
    <w:rsid w:val="00EE3DAC"/>
    <w:rsid w:val="00EE490E"/>
    <w:rsid w:val="00EE5106"/>
    <w:rsid w:val="00EE5BA2"/>
    <w:rsid w:val="00EE6AE5"/>
    <w:rsid w:val="00EE7F08"/>
    <w:rsid w:val="00EF0172"/>
    <w:rsid w:val="00EF1CB9"/>
    <w:rsid w:val="00EF5F4D"/>
    <w:rsid w:val="00F015CE"/>
    <w:rsid w:val="00F027BE"/>
    <w:rsid w:val="00F068AA"/>
    <w:rsid w:val="00F072CD"/>
    <w:rsid w:val="00F11A9D"/>
    <w:rsid w:val="00F123ED"/>
    <w:rsid w:val="00F142CB"/>
    <w:rsid w:val="00F143A9"/>
    <w:rsid w:val="00F1474C"/>
    <w:rsid w:val="00F16567"/>
    <w:rsid w:val="00F17474"/>
    <w:rsid w:val="00F230F9"/>
    <w:rsid w:val="00F25628"/>
    <w:rsid w:val="00F261CA"/>
    <w:rsid w:val="00F30739"/>
    <w:rsid w:val="00F3085A"/>
    <w:rsid w:val="00F32922"/>
    <w:rsid w:val="00F32C5B"/>
    <w:rsid w:val="00F32E60"/>
    <w:rsid w:val="00F348B2"/>
    <w:rsid w:val="00F36848"/>
    <w:rsid w:val="00F36C2C"/>
    <w:rsid w:val="00F3775F"/>
    <w:rsid w:val="00F37EF1"/>
    <w:rsid w:val="00F471B4"/>
    <w:rsid w:val="00F47F84"/>
    <w:rsid w:val="00F50A80"/>
    <w:rsid w:val="00F50E2D"/>
    <w:rsid w:val="00F51683"/>
    <w:rsid w:val="00F5187B"/>
    <w:rsid w:val="00F51C2C"/>
    <w:rsid w:val="00F52D59"/>
    <w:rsid w:val="00F53A5C"/>
    <w:rsid w:val="00F54225"/>
    <w:rsid w:val="00F54829"/>
    <w:rsid w:val="00F5716D"/>
    <w:rsid w:val="00F60DBF"/>
    <w:rsid w:val="00F631C5"/>
    <w:rsid w:val="00F6386E"/>
    <w:rsid w:val="00F64E7E"/>
    <w:rsid w:val="00F6532F"/>
    <w:rsid w:val="00F65B0D"/>
    <w:rsid w:val="00F679B4"/>
    <w:rsid w:val="00F67CE3"/>
    <w:rsid w:val="00F715CB"/>
    <w:rsid w:val="00F71681"/>
    <w:rsid w:val="00F723A7"/>
    <w:rsid w:val="00F72AB0"/>
    <w:rsid w:val="00F72E9D"/>
    <w:rsid w:val="00F7346F"/>
    <w:rsid w:val="00F73605"/>
    <w:rsid w:val="00F73B42"/>
    <w:rsid w:val="00F74B0F"/>
    <w:rsid w:val="00F74BD2"/>
    <w:rsid w:val="00F75F21"/>
    <w:rsid w:val="00F7677D"/>
    <w:rsid w:val="00F76C5D"/>
    <w:rsid w:val="00F7723A"/>
    <w:rsid w:val="00F8075F"/>
    <w:rsid w:val="00F81E7F"/>
    <w:rsid w:val="00F821D4"/>
    <w:rsid w:val="00F84B8F"/>
    <w:rsid w:val="00F86558"/>
    <w:rsid w:val="00F92B94"/>
    <w:rsid w:val="00F948F5"/>
    <w:rsid w:val="00F951FE"/>
    <w:rsid w:val="00F96EC2"/>
    <w:rsid w:val="00FA19BF"/>
    <w:rsid w:val="00FA19C2"/>
    <w:rsid w:val="00FA3FB8"/>
    <w:rsid w:val="00FA5A02"/>
    <w:rsid w:val="00FA6049"/>
    <w:rsid w:val="00FA6EC0"/>
    <w:rsid w:val="00FA7E74"/>
    <w:rsid w:val="00FB0CD2"/>
    <w:rsid w:val="00FB10B5"/>
    <w:rsid w:val="00FB2DCE"/>
    <w:rsid w:val="00FB381C"/>
    <w:rsid w:val="00FB5CA5"/>
    <w:rsid w:val="00FB680E"/>
    <w:rsid w:val="00FC1548"/>
    <w:rsid w:val="00FC2F76"/>
    <w:rsid w:val="00FC30B2"/>
    <w:rsid w:val="00FC31F4"/>
    <w:rsid w:val="00FC42D4"/>
    <w:rsid w:val="00FD026B"/>
    <w:rsid w:val="00FD20BB"/>
    <w:rsid w:val="00FD3203"/>
    <w:rsid w:val="00FD43E8"/>
    <w:rsid w:val="00FD592F"/>
    <w:rsid w:val="00FD717C"/>
    <w:rsid w:val="00FE1D54"/>
    <w:rsid w:val="00FE3DDB"/>
    <w:rsid w:val="00FE4D78"/>
    <w:rsid w:val="00FE5098"/>
    <w:rsid w:val="00FE60B9"/>
    <w:rsid w:val="00FF1475"/>
    <w:rsid w:val="00FF1CAB"/>
    <w:rsid w:val="00FF2137"/>
    <w:rsid w:val="00FF26CB"/>
    <w:rsid w:val="00FF2FB9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99B0B"/>
  <w15:docId w15:val="{8CABB542-2BFC-41A3-AA77-5FEA9EC2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3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nowy"/>
    <w:basedOn w:val="Standardowy"/>
    <w:uiPriority w:val="59"/>
    <w:rsid w:val="007F3476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ist Paragraph2,Podsis rysunku,Akapit z listą4,Akapit z listą BS,T_SZ_List Paragraph,BulletC,normalny tekst,List bullet,Obiekt,List Paragraph1,WYPUNKTOWANIE Akapit z listą,zwykły tekst,A_wyliczenie,K-P_odwolanie"/>
    <w:basedOn w:val="Normalny"/>
    <w:link w:val="AkapitzlistZnak"/>
    <w:qFormat/>
    <w:rsid w:val="007F3476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E36D6"/>
    <w:rPr>
      <w:sz w:val="16"/>
      <w:szCs w:val="16"/>
    </w:rPr>
  </w:style>
  <w:style w:type="paragraph" w:styleId="Tekstkomentarza">
    <w:name w:val="annotation text"/>
    <w:aliases w:val="Tekst komentarza Znak Znak,Znak3 Znak Znak, Znak3 Znak Znak, Znak,Znak"/>
    <w:basedOn w:val="Normalny"/>
    <w:link w:val="TekstkomentarzaZnak"/>
    <w:uiPriority w:val="99"/>
    <w:unhideWhenUsed/>
    <w:rsid w:val="00CE3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,Znak3 Znak Znak Znak, Znak3 Znak Znak Znak, Znak Znak,Znak Znak"/>
    <w:link w:val="Tekstkomentarza"/>
    <w:uiPriority w:val="99"/>
    <w:rsid w:val="00CE3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6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E3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36D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BA38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rsid w:val="00BA3860"/>
    <w:rPr>
      <w:sz w:val="20"/>
      <w:szCs w:val="20"/>
    </w:rPr>
  </w:style>
  <w:style w:type="character" w:styleId="Odwoanieprzypisudolnego">
    <w:name w:val="footnote reference"/>
    <w:aliases w:val="Footnote Reference Number,Footnote Reference_LVL6,Footnote Reference_LVL61,Footnote Reference_LVL62,Footnote Reference_LVL63,Footnote Reference_LVL64,Footnote symbol,Footnote reference number,Times 10 Point,Exposant 3 Point,No"/>
    <w:unhideWhenUsed/>
    <w:rsid w:val="00BA3860"/>
    <w:rPr>
      <w:vertAlign w:val="superscript"/>
    </w:rPr>
  </w:style>
  <w:style w:type="paragraph" w:styleId="Poprawka">
    <w:name w:val="Revision"/>
    <w:hidden/>
    <w:uiPriority w:val="99"/>
    <w:semiHidden/>
    <w:rsid w:val="006D1BB3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8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CFB"/>
  </w:style>
  <w:style w:type="paragraph" w:styleId="Stopka">
    <w:name w:val="footer"/>
    <w:basedOn w:val="Normalny"/>
    <w:link w:val="StopkaZnak"/>
    <w:uiPriority w:val="99"/>
    <w:unhideWhenUsed/>
    <w:rsid w:val="0048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CFB"/>
  </w:style>
  <w:style w:type="character" w:styleId="Hipercze">
    <w:name w:val="Hyperlink"/>
    <w:uiPriority w:val="99"/>
    <w:unhideWhenUsed/>
    <w:rsid w:val="00887451"/>
    <w:rPr>
      <w:color w:val="0000FF"/>
      <w:u w:val="single"/>
    </w:rPr>
  </w:style>
  <w:style w:type="character" w:customStyle="1" w:styleId="TekstkomentarzaZnak1">
    <w:name w:val="Tekst komentarza Znak1"/>
    <w:uiPriority w:val="99"/>
    <w:locked/>
    <w:rsid w:val="00760805"/>
    <w:rPr>
      <w:rFonts w:ascii="Arial" w:hAnsi="Arial"/>
      <w:sz w:val="20"/>
    </w:rPr>
  </w:style>
  <w:style w:type="character" w:customStyle="1" w:styleId="AkapitzlistZnak">
    <w:name w:val="Akapit z listą Znak"/>
    <w:aliases w:val="Numerowanie Znak,List Paragraph Znak,List Paragraph2 Znak,Podsis rysunku Znak,Akapit z listą4 Znak,Akapit z listą BS Znak,T_SZ_List Paragraph Znak,BulletC Znak,normalny tekst Znak,List bullet Znak,Obiekt Znak,List Paragraph1 Znak"/>
    <w:link w:val="Akapitzlist"/>
    <w:uiPriority w:val="34"/>
    <w:qFormat/>
    <w:locked/>
    <w:rsid w:val="00484575"/>
    <w:rPr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locked/>
    <w:rsid w:val="005465BE"/>
    <w:rPr>
      <w:rFonts w:ascii="Arial" w:hAnsi="Arial"/>
    </w:rPr>
  </w:style>
  <w:style w:type="character" w:customStyle="1" w:styleId="cf01">
    <w:name w:val="cf01"/>
    <w:basedOn w:val="Domylnaczcionkaakapitu"/>
    <w:rsid w:val="00603503"/>
    <w:rPr>
      <w:rFonts w:ascii="Segoe UI" w:hAnsi="Segoe UI" w:cs="Segoe UI" w:hint="default"/>
      <w:sz w:val="18"/>
      <w:szCs w:val="18"/>
    </w:rPr>
  </w:style>
  <w:style w:type="table" w:customStyle="1" w:styleId="Tabelasiatki4akcent51">
    <w:name w:val="Tabela siatki 4 — akcent 51"/>
    <w:basedOn w:val="Standardowy"/>
    <w:uiPriority w:val="49"/>
    <w:rsid w:val="006F3107"/>
    <w:rPr>
      <w:rFonts w:ascii="Times New Roman" w:eastAsia="Times New Roman" w:hAnsi="Times New Roman"/>
      <w:lang w:eastAsia="pl-P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554B97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AFA6D2"/>
      </w:tcPr>
    </w:tblStylePr>
  </w:style>
  <w:style w:type="character" w:customStyle="1" w:styleId="hgkelc">
    <w:name w:val="hgkelc"/>
    <w:basedOn w:val="Domylnaczcionkaakapitu"/>
    <w:rsid w:val="0079466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54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E454B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6EC2"/>
    <w:rPr>
      <w:color w:val="605E5C"/>
      <w:shd w:val="clear" w:color="auto" w:fill="E1DFDD"/>
    </w:rPr>
  </w:style>
  <w:style w:type="paragraph" w:customStyle="1" w:styleId="Default">
    <w:name w:val="Default"/>
    <w:rsid w:val="00AF515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baza-wiedzy/publikacje/publikacje-uzp-wg-kategorii-tematycznych/zrownowazone-zamowienia-publiczn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ur-lex.europa.eu/legal-content/PL/TXT/PDF/?uri=CELEX:32009L0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regional_policy/pl/newsroom/news/2021/09/15-09-2021-new-european-bauhaus-new-actions-and-funding-to-link-sustainability-to-style-and-inclusion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../../../AppData/Local/Packages/Microsoft.Windows.Photos_8wekyb3d8bbwe/TempState/ShareServiceTempFolder/Zestaw%20logotyp&#243;w%203%20(Cz.B.).jpeg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../../../AppData/Local/Packages/Microsoft.Windows.Photos_8wekyb3d8bbwe/TempState/ShareServiceTempFolder/Zestaw%20logotyp&#243;w%203%20(Cz.B.)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85988-01BA-43F0-8591-B80FB25D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2348</Words>
  <Characters>14094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Baczewski, Jacek</dc:creator>
  <cp:lastModifiedBy>Ewa Gad</cp:lastModifiedBy>
  <cp:revision>6</cp:revision>
  <cp:lastPrinted>2023-10-27T08:20:00Z</cp:lastPrinted>
  <dcterms:created xsi:type="dcterms:W3CDTF">2024-02-21T10:16:00Z</dcterms:created>
  <dcterms:modified xsi:type="dcterms:W3CDTF">2024-02-21T12:21:00Z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Krzysztof.Lesniak@bgk.pl</vt:lpwstr>
  </property>
  <property fmtid="{D5CDD505-2E9C-101B-9397-08002B2CF9AE}" pid="5" name="MSIP_Label_ffd642cb-f5ac-4f9c-8f91-3377ed972e0d_SetDate">
    <vt:lpwstr>2018-11-14T11:54:27.3499546Z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2021-11-22T15:34:51Z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</Properties>
</file>