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64434" w14:textId="655208FA" w:rsidR="00346CB0" w:rsidRPr="00DB089F" w:rsidRDefault="00DB089F" w:rsidP="00DB089F">
      <w:pPr>
        <w:pStyle w:val="Akapitzlist"/>
        <w:spacing w:before="120" w:after="120"/>
        <w:ind w:left="5664"/>
        <w:jc w:val="both"/>
        <w:rPr>
          <w:rFonts w:cstheme="minorHAnsi"/>
          <w:i/>
        </w:rPr>
      </w:pPr>
      <w:r>
        <w:rPr>
          <w:rFonts w:cstheme="minorHAnsi"/>
          <w:i/>
        </w:rPr>
        <w:t>Z</w:t>
      </w:r>
      <w:r w:rsidRPr="00DB089F">
        <w:rPr>
          <w:rFonts w:cstheme="minorHAnsi"/>
          <w:i/>
        </w:rPr>
        <w:t xml:space="preserve">ałącznik nr </w:t>
      </w:r>
      <w:r>
        <w:rPr>
          <w:rFonts w:cstheme="minorHAnsi"/>
          <w:i/>
        </w:rPr>
        <w:t>1</w:t>
      </w:r>
      <w:r w:rsidRPr="00DB089F">
        <w:rPr>
          <w:rFonts w:cstheme="minorHAnsi"/>
          <w:i/>
        </w:rPr>
        <w:t xml:space="preserve"> do Regulaminu Regulamin udzielania pożyczek z Instrumentu Finansowego - Pożyczka dla MŚP</w:t>
      </w:r>
    </w:p>
    <w:p w14:paraId="59E8ED77" w14:textId="77777777" w:rsidR="00DB089F" w:rsidRDefault="00DB089F" w:rsidP="006A4442">
      <w:pPr>
        <w:pStyle w:val="Akapitzlist"/>
        <w:spacing w:before="120" w:after="120"/>
        <w:ind w:left="0"/>
        <w:contextualSpacing w:val="0"/>
        <w:jc w:val="center"/>
        <w:rPr>
          <w:rFonts w:cstheme="minorHAnsi"/>
          <w:b/>
        </w:rPr>
      </w:pPr>
    </w:p>
    <w:p w14:paraId="736A8294" w14:textId="3CFFA9ED" w:rsidR="005F3EAE" w:rsidRPr="006A4442" w:rsidRDefault="00A543DB" w:rsidP="006A4442">
      <w:pPr>
        <w:pStyle w:val="Akapitzlist"/>
        <w:spacing w:before="120" w:after="120"/>
        <w:ind w:left="0"/>
        <w:contextualSpacing w:val="0"/>
        <w:jc w:val="center"/>
        <w:rPr>
          <w:rFonts w:cstheme="minorHAnsi"/>
          <w:b/>
        </w:rPr>
      </w:pPr>
      <w:r w:rsidRPr="006A4442">
        <w:rPr>
          <w:rFonts w:cstheme="minorHAnsi"/>
          <w:b/>
        </w:rPr>
        <w:t xml:space="preserve">Karta Produktu </w:t>
      </w:r>
      <w:r w:rsidR="00242BE0" w:rsidRPr="006A4442">
        <w:rPr>
          <w:rFonts w:cstheme="minorHAnsi"/>
          <w:b/>
        </w:rPr>
        <w:t xml:space="preserve">Pożyczka </w:t>
      </w:r>
      <w:r w:rsidR="00924E85" w:rsidRPr="006A4442">
        <w:rPr>
          <w:rFonts w:cstheme="minorHAnsi"/>
          <w:b/>
        </w:rPr>
        <w:t>dla MŚP</w:t>
      </w:r>
    </w:p>
    <w:p w14:paraId="58204AAB" w14:textId="77777777" w:rsidR="005F3EAE" w:rsidRPr="006A4442" w:rsidRDefault="005F3EAE" w:rsidP="006A4442">
      <w:pPr>
        <w:pStyle w:val="Akapitzlist"/>
        <w:spacing w:before="120" w:after="120"/>
        <w:ind w:left="0"/>
        <w:contextualSpacing w:val="0"/>
        <w:jc w:val="both"/>
        <w:rPr>
          <w:rFonts w:cstheme="minorHAnsi"/>
          <w:b/>
        </w:rPr>
      </w:pPr>
    </w:p>
    <w:p w14:paraId="37F506F7" w14:textId="3726C496" w:rsidR="007678C3" w:rsidRPr="006A4442" w:rsidRDefault="007678C3" w:rsidP="006A4442">
      <w:pPr>
        <w:pStyle w:val="Akapitzlist"/>
        <w:numPr>
          <w:ilvl w:val="0"/>
          <w:numId w:val="13"/>
        </w:numPr>
        <w:spacing w:before="120" w:after="120"/>
        <w:ind w:left="426" w:hanging="426"/>
        <w:contextualSpacing w:val="0"/>
        <w:jc w:val="both"/>
        <w:rPr>
          <w:rFonts w:cstheme="minorHAnsi"/>
          <w:b/>
        </w:rPr>
      </w:pPr>
      <w:r w:rsidRPr="006A4442">
        <w:rPr>
          <w:rFonts w:cstheme="minorHAnsi"/>
          <w:b/>
        </w:rPr>
        <w:t xml:space="preserve">Podstawowe parametry </w:t>
      </w:r>
      <w:r w:rsidR="005F7B39" w:rsidRPr="006A4442">
        <w:rPr>
          <w:rFonts w:cstheme="minorHAnsi"/>
          <w:b/>
        </w:rPr>
        <w:t xml:space="preserve">Pożyczki </w:t>
      </w:r>
      <w:r w:rsidR="001E06EE" w:rsidRPr="006A4442">
        <w:rPr>
          <w:rFonts w:cstheme="minorHAnsi"/>
          <w:b/>
        </w:rPr>
        <w:t>dla MŚP</w:t>
      </w:r>
    </w:p>
    <w:p w14:paraId="4E19050D" w14:textId="5C4BE4E8" w:rsidR="007678C3" w:rsidRPr="006A4442" w:rsidRDefault="007678C3" w:rsidP="006A4442">
      <w:pPr>
        <w:pStyle w:val="Akapitzlist"/>
        <w:numPr>
          <w:ilvl w:val="0"/>
          <w:numId w:val="11"/>
        </w:numPr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6A4442">
        <w:rPr>
          <w:rFonts w:cstheme="minorHAnsi"/>
        </w:rPr>
        <w:t xml:space="preserve">Wartość </w:t>
      </w:r>
      <w:r w:rsidR="00D00D62" w:rsidRPr="006A4442">
        <w:rPr>
          <w:rFonts w:cstheme="minorHAnsi"/>
        </w:rPr>
        <w:t>Pożyczki</w:t>
      </w:r>
      <w:r w:rsidR="00242BE0" w:rsidRPr="006A4442">
        <w:rPr>
          <w:rFonts w:cstheme="minorHAnsi"/>
        </w:rPr>
        <w:t xml:space="preserve"> </w:t>
      </w:r>
      <w:r w:rsidR="005F7B39" w:rsidRPr="006A4442">
        <w:rPr>
          <w:rFonts w:cstheme="minorHAnsi"/>
        </w:rPr>
        <w:t xml:space="preserve">wynosi do </w:t>
      </w:r>
      <w:r w:rsidR="00924E85" w:rsidRPr="006A4442">
        <w:rPr>
          <w:rFonts w:cstheme="minorHAnsi"/>
        </w:rPr>
        <w:t xml:space="preserve">1 000 000,00 </w:t>
      </w:r>
      <w:r w:rsidR="005F7B39" w:rsidRPr="006A4442">
        <w:rPr>
          <w:rFonts w:cstheme="minorHAnsi"/>
        </w:rPr>
        <w:t>zł</w:t>
      </w:r>
      <w:r w:rsidRPr="006A4442">
        <w:rPr>
          <w:rFonts w:cstheme="minorHAnsi"/>
        </w:rPr>
        <w:t>.</w:t>
      </w:r>
    </w:p>
    <w:p w14:paraId="1D6999E5" w14:textId="3E46F4F2" w:rsidR="00875729" w:rsidRPr="006A4442" w:rsidRDefault="00FD1A3D" w:rsidP="006A4442">
      <w:pPr>
        <w:pStyle w:val="Akapitzlist"/>
        <w:numPr>
          <w:ilvl w:val="0"/>
          <w:numId w:val="11"/>
        </w:numPr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6A4442">
        <w:rPr>
          <w:rFonts w:cstheme="minorHAnsi"/>
        </w:rPr>
        <w:t xml:space="preserve">Wkład własny </w:t>
      </w:r>
      <w:r w:rsidR="0069098E" w:rsidRPr="006A4442">
        <w:rPr>
          <w:rFonts w:cstheme="minorHAnsi"/>
        </w:rPr>
        <w:t xml:space="preserve">Pożyczkobiorcy </w:t>
      </w:r>
      <w:r w:rsidRPr="006A4442">
        <w:rPr>
          <w:rFonts w:cstheme="minorHAnsi"/>
        </w:rPr>
        <w:t>nie jest wymagany.</w:t>
      </w:r>
    </w:p>
    <w:p w14:paraId="7F8CD016" w14:textId="1A88546E" w:rsidR="00A51C14" w:rsidRPr="006A4442" w:rsidRDefault="00A51C14" w:rsidP="006A4442">
      <w:pPr>
        <w:pStyle w:val="Akapitzlist"/>
        <w:numPr>
          <w:ilvl w:val="0"/>
          <w:numId w:val="11"/>
        </w:numPr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6A4442">
        <w:rPr>
          <w:rFonts w:cstheme="minorHAnsi"/>
        </w:rPr>
        <w:t xml:space="preserve">Maksymalny termin na wypłatę całkowitej kwoty </w:t>
      </w:r>
      <w:r w:rsidR="00A21B2D" w:rsidRPr="006A4442">
        <w:rPr>
          <w:rFonts w:cstheme="minorHAnsi"/>
        </w:rPr>
        <w:t xml:space="preserve">Pożyczki </w:t>
      </w:r>
      <w:r w:rsidR="005F7B39" w:rsidRPr="006A4442">
        <w:rPr>
          <w:rFonts w:cstheme="minorHAnsi"/>
        </w:rPr>
        <w:t xml:space="preserve">przez </w:t>
      </w:r>
      <w:r w:rsidR="006A4442" w:rsidRPr="006A4442">
        <w:rPr>
          <w:rFonts w:cstheme="minorHAnsi"/>
        </w:rPr>
        <w:t>Fundusz Pożyczkowy Woj</w:t>
      </w:r>
      <w:r w:rsidR="0064590A">
        <w:rPr>
          <w:rFonts w:cstheme="minorHAnsi"/>
        </w:rPr>
        <w:t>ewództwa Świę</w:t>
      </w:r>
      <w:r w:rsidR="006A4442" w:rsidRPr="006A4442">
        <w:rPr>
          <w:rFonts w:cstheme="minorHAnsi"/>
        </w:rPr>
        <w:t>tokrzyskiego Sp. z o.o.</w:t>
      </w:r>
      <w:r w:rsidR="005F7B39" w:rsidRPr="006A4442">
        <w:rPr>
          <w:rFonts w:cstheme="minorHAnsi"/>
        </w:rPr>
        <w:t xml:space="preserve"> wynosi </w:t>
      </w:r>
      <w:r w:rsidR="00DE13ED" w:rsidRPr="006A4442">
        <w:rPr>
          <w:rFonts w:cstheme="minorHAnsi"/>
        </w:rPr>
        <w:t xml:space="preserve">90 </w:t>
      </w:r>
      <w:r w:rsidRPr="006A4442">
        <w:rPr>
          <w:rFonts w:cstheme="minorHAnsi"/>
        </w:rPr>
        <w:t>dni k</w:t>
      </w:r>
      <w:r w:rsidR="00D00D62" w:rsidRPr="006A4442">
        <w:rPr>
          <w:rFonts w:cstheme="minorHAnsi"/>
        </w:rPr>
        <w:t>alendarzowych od dnia zawarcia u</w:t>
      </w:r>
      <w:r w:rsidRPr="006A4442">
        <w:rPr>
          <w:rFonts w:cstheme="minorHAnsi"/>
        </w:rPr>
        <w:t xml:space="preserve">mowy </w:t>
      </w:r>
      <w:r w:rsidR="00D00D62" w:rsidRPr="006A4442">
        <w:rPr>
          <w:rFonts w:cstheme="minorHAnsi"/>
        </w:rPr>
        <w:t>Pożyczki</w:t>
      </w:r>
      <w:r w:rsidRPr="006A4442">
        <w:rPr>
          <w:rFonts w:cstheme="minorHAnsi"/>
        </w:rPr>
        <w:t xml:space="preserve">. </w:t>
      </w:r>
    </w:p>
    <w:p w14:paraId="6386264E" w14:textId="27779515" w:rsidR="00097D21" w:rsidRPr="006A4442" w:rsidRDefault="00097D21" w:rsidP="006A4442">
      <w:pPr>
        <w:pStyle w:val="Akapitzlist"/>
        <w:numPr>
          <w:ilvl w:val="0"/>
          <w:numId w:val="11"/>
        </w:numPr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6A4442">
        <w:rPr>
          <w:rFonts w:cstheme="minorHAnsi"/>
        </w:rPr>
        <w:t xml:space="preserve">Maksymalny okres spłaty </w:t>
      </w:r>
      <w:r w:rsidR="00A21B2D" w:rsidRPr="006A4442">
        <w:rPr>
          <w:rFonts w:cstheme="minorHAnsi"/>
        </w:rPr>
        <w:t xml:space="preserve">Pożyczki </w:t>
      </w:r>
      <w:r w:rsidR="005F7B39" w:rsidRPr="006A4442">
        <w:rPr>
          <w:rFonts w:cstheme="minorHAnsi"/>
        </w:rPr>
        <w:t xml:space="preserve">nie może być dłuższy niż </w:t>
      </w:r>
      <w:r w:rsidR="00924E85" w:rsidRPr="006A4442">
        <w:rPr>
          <w:rFonts w:cstheme="minorHAnsi"/>
        </w:rPr>
        <w:t xml:space="preserve">60 </w:t>
      </w:r>
      <w:r w:rsidRPr="006A4442">
        <w:rPr>
          <w:rFonts w:cstheme="minorHAnsi"/>
        </w:rPr>
        <w:t>miesięcy</w:t>
      </w:r>
      <w:r w:rsidR="00AE7DAF" w:rsidRPr="006A4442">
        <w:rPr>
          <w:rFonts w:cstheme="minorHAnsi"/>
        </w:rPr>
        <w:t>, od momentu jej uruchomienia</w:t>
      </w:r>
      <w:r w:rsidR="00854DE4" w:rsidRPr="006A4442">
        <w:rPr>
          <w:rFonts w:cstheme="minorHAnsi"/>
        </w:rPr>
        <w:t xml:space="preserve">, tj. wypłaty jakiejkolwiek kwoty </w:t>
      </w:r>
      <w:r w:rsidR="00A21B2D" w:rsidRPr="006A4442">
        <w:rPr>
          <w:rFonts w:cstheme="minorHAnsi"/>
        </w:rPr>
        <w:t>Pożyczki</w:t>
      </w:r>
      <w:r w:rsidRPr="006A4442">
        <w:rPr>
          <w:rFonts w:cstheme="minorHAnsi"/>
        </w:rPr>
        <w:t>.</w:t>
      </w:r>
    </w:p>
    <w:p w14:paraId="2C787C11" w14:textId="38FD9653" w:rsidR="00CC1E53" w:rsidRPr="006A4442" w:rsidRDefault="00CC1E53" w:rsidP="006A4442">
      <w:pPr>
        <w:pStyle w:val="Akapitzlist"/>
        <w:numPr>
          <w:ilvl w:val="0"/>
          <w:numId w:val="11"/>
        </w:numPr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6A4442">
        <w:rPr>
          <w:rFonts w:cstheme="minorHAnsi"/>
        </w:rPr>
        <w:t xml:space="preserve">Maksymalna karencja w spłacie </w:t>
      </w:r>
      <w:r w:rsidR="00346CB0" w:rsidRPr="006A4442">
        <w:rPr>
          <w:rFonts w:cstheme="minorHAnsi"/>
        </w:rPr>
        <w:t xml:space="preserve">kapitału </w:t>
      </w:r>
      <w:r w:rsidR="00A21B2D" w:rsidRPr="006A4442">
        <w:rPr>
          <w:rFonts w:cstheme="minorHAnsi"/>
        </w:rPr>
        <w:t xml:space="preserve">Pożyczki </w:t>
      </w:r>
      <w:r w:rsidR="005F7B39" w:rsidRPr="006A4442">
        <w:rPr>
          <w:rFonts w:cstheme="minorHAnsi"/>
        </w:rPr>
        <w:t xml:space="preserve">wynosi </w:t>
      </w:r>
      <w:r w:rsidR="00924E85" w:rsidRPr="006A4442">
        <w:rPr>
          <w:rFonts w:cstheme="minorHAnsi"/>
        </w:rPr>
        <w:t xml:space="preserve">6 </w:t>
      </w:r>
      <w:r w:rsidRPr="006A4442">
        <w:rPr>
          <w:rFonts w:cstheme="minorHAnsi"/>
        </w:rPr>
        <w:t>miesięcy</w:t>
      </w:r>
      <w:r w:rsidR="006856FE" w:rsidRPr="006A4442">
        <w:rPr>
          <w:rFonts w:cstheme="minorHAnsi"/>
        </w:rPr>
        <w:t xml:space="preserve"> od dnia jej uruchomienia</w:t>
      </w:r>
      <w:r w:rsidRPr="006A4442">
        <w:rPr>
          <w:rFonts w:cstheme="minorHAnsi"/>
        </w:rPr>
        <w:t xml:space="preserve">, przy czym karencja nie wydłuża okresu spłaty </w:t>
      </w:r>
      <w:r w:rsidR="00A21B2D" w:rsidRPr="006A4442">
        <w:rPr>
          <w:rFonts w:cstheme="minorHAnsi"/>
        </w:rPr>
        <w:t>Pożyczki</w:t>
      </w:r>
      <w:r w:rsidR="00A51C14" w:rsidRPr="006A4442">
        <w:rPr>
          <w:rFonts w:cstheme="minorHAnsi"/>
        </w:rPr>
        <w:t>.</w:t>
      </w:r>
      <w:r w:rsidR="00BB28F7" w:rsidRPr="006A4442">
        <w:rPr>
          <w:rFonts w:cstheme="minorHAnsi"/>
        </w:rPr>
        <w:t xml:space="preserve"> </w:t>
      </w:r>
    </w:p>
    <w:p w14:paraId="15216030" w14:textId="737CB568" w:rsidR="001465A3" w:rsidRPr="006A4442" w:rsidRDefault="00FD1A3D" w:rsidP="006A4442">
      <w:pPr>
        <w:pStyle w:val="Akapitzlist"/>
        <w:numPr>
          <w:ilvl w:val="0"/>
          <w:numId w:val="13"/>
        </w:numPr>
        <w:spacing w:before="120" w:after="120"/>
        <w:ind w:left="426" w:hanging="426"/>
        <w:contextualSpacing w:val="0"/>
        <w:jc w:val="both"/>
        <w:rPr>
          <w:rFonts w:cstheme="minorHAnsi"/>
          <w:b/>
        </w:rPr>
      </w:pPr>
      <w:r w:rsidRPr="006A4442">
        <w:rPr>
          <w:rFonts w:cstheme="minorHAnsi"/>
          <w:b/>
        </w:rPr>
        <w:t>Z</w:t>
      </w:r>
      <w:r w:rsidR="005F3EAE" w:rsidRPr="006A4442">
        <w:rPr>
          <w:rFonts w:cstheme="minorHAnsi"/>
          <w:b/>
        </w:rPr>
        <w:t>asady dotyczące</w:t>
      </w:r>
      <w:r w:rsidR="001465A3" w:rsidRPr="006A4442">
        <w:rPr>
          <w:rFonts w:cstheme="minorHAnsi"/>
          <w:b/>
        </w:rPr>
        <w:t xml:space="preserve"> udzielania</w:t>
      </w:r>
      <w:r w:rsidR="00417A9B" w:rsidRPr="006A4442">
        <w:rPr>
          <w:rFonts w:cstheme="minorHAnsi"/>
          <w:b/>
        </w:rPr>
        <w:t xml:space="preserve"> i udokumentowania</w:t>
      </w:r>
      <w:r w:rsidR="001465A3" w:rsidRPr="006A4442">
        <w:rPr>
          <w:rFonts w:cstheme="minorHAnsi"/>
          <w:b/>
        </w:rPr>
        <w:t xml:space="preserve"> </w:t>
      </w:r>
      <w:r w:rsidR="00A21B2D" w:rsidRPr="006A4442">
        <w:rPr>
          <w:rFonts w:cstheme="minorHAnsi"/>
          <w:b/>
        </w:rPr>
        <w:t xml:space="preserve">Pożyczki </w:t>
      </w:r>
      <w:r w:rsidR="001E06EE" w:rsidRPr="006A4442">
        <w:rPr>
          <w:rFonts w:cstheme="minorHAnsi"/>
          <w:b/>
        </w:rPr>
        <w:t>dla MŚP</w:t>
      </w:r>
    </w:p>
    <w:p w14:paraId="209729E3" w14:textId="20365FFB" w:rsidR="001465A3" w:rsidRPr="006A4442" w:rsidRDefault="001465A3" w:rsidP="006A4442">
      <w:pPr>
        <w:pStyle w:val="Akapitzlist"/>
        <w:numPr>
          <w:ilvl w:val="0"/>
          <w:numId w:val="12"/>
        </w:numPr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6A4442">
        <w:rPr>
          <w:rFonts w:cstheme="minorHAnsi"/>
        </w:rPr>
        <w:t xml:space="preserve">Udzielenie </w:t>
      </w:r>
      <w:r w:rsidR="00A21B2D" w:rsidRPr="006A4442">
        <w:rPr>
          <w:rFonts w:cstheme="minorHAnsi"/>
        </w:rPr>
        <w:t xml:space="preserve">Pożyczki </w:t>
      </w:r>
      <w:r w:rsidRPr="006A4442">
        <w:rPr>
          <w:rFonts w:cstheme="minorHAnsi"/>
        </w:rPr>
        <w:t xml:space="preserve">nie może być uzależnione od zawarcia przez </w:t>
      </w:r>
      <w:r w:rsidR="0069098E" w:rsidRPr="006A4442">
        <w:rPr>
          <w:rFonts w:cstheme="minorHAnsi"/>
        </w:rPr>
        <w:t xml:space="preserve">Pożyczkobiorcę </w:t>
      </w:r>
      <w:r w:rsidRPr="006A4442">
        <w:rPr>
          <w:rFonts w:cstheme="minorHAnsi"/>
        </w:rPr>
        <w:t>dodatkowych umów (w szczególności dotyczących zakupu dodatkowych usług</w:t>
      </w:r>
      <w:r w:rsidR="00EE07F6" w:rsidRPr="006A4442">
        <w:rPr>
          <w:rFonts w:cstheme="minorHAnsi"/>
        </w:rPr>
        <w:t xml:space="preserve">, </w:t>
      </w:r>
      <w:r w:rsidR="002612FF" w:rsidRPr="006A4442">
        <w:rPr>
          <w:rFonts w:cstheme="minorHAnsi"/>
        </w:rPr>
        <w:t>produktów finansowych lub ubezpieczeniowych</w:t>
      </w:r>
      <w:r w:rsidRPr="006A4442">
        <w:rPr>
          <w:rFonts w:cstheme="minorHAnsi"/>
        </w:rPr>
        <w:t xml:space="preserve">) z </w:t>
      </w:r>
      <w:r w:rsidR="006A4442" w:rsidRPr="006A4442">
        <w:rPr>
          <w:rFonts w:cstheme="minorHAnsi"/>
        </w:rPr>
        <w:t>Funduszem Pożyczkowym Woj</w:t>
      </w:r>
      <w:r w:rsidR="0064590A">
        <w:rPr>
          <w:rFonts w:cstheme="minorHAnsi"/>
        </w:rPr>
        <w:t>ewództwa Świę</w:t>
      </w:r>
      <w:r w:rsidR="006A4442" w:rsidRPr="006A4442">
        <w:rPr>
          <w:rFonts w:cstheme="minorHAnsi"/>
        </w:rPr>
        <w:t xml:space="preserve">tokrzyskiego Sp. z o.o. </w:t>
      </w:r>
      <w:r w:rsidR="00FD1A3D" w:rsidRPr="006A4442">
        <w:rPr>
          <w:rFonts w:cstheme="minorHAnsi"/>
        </w:rPr>
        <w:t xml:space="preserve"> </w:t>
      </w:r>
      <w:r w:rsidRPr="006A4442">
        <w:rPr>
          <w:rFonts w:cstheme="minorHAnsi"/>
        </w:rPr>
        <w:t xml:space="preserve">lub podmiotem partnerskim lub powiązanym w stosunku </w:t>
      </w:r>
      <w:r w:rsidR="006A4442" w:rsidRPr="006A4442">
        <w:rPr>
          <w:rFonts w:cstheme="minorHAnsi"/>
        </w:rPr>
        <w:t>do Funduszu Pożyczkowego Woj</w:t>
      </w:r>
      <w:r w:rsidR="0064590A">
        <w:rPr>
          <w:rFonts w:cstheme="minorHAnsi"/>
        </w:rPr>
        <w:t>ewództwa Świę</w:t>
      </w:r>
      <w:r w:rsidR="006A4442" w:rsidRPr="006A4442">
        <w:rPr>
          <w:rFonts w:cstheme="minorHAnsi"/>
        </w:rPr>
        <w:t xml:space="preserve">tokrzyskiego Sp. z o.o. </w:t>
      </w:r>
      <w:r w:rsidRPr="006A4442">
        <w:rPr>
          <w:rFonts w:cstheme="minorHAnsi"/>
        </w:rPr>
        <w:t xml:space="preserve">; powyższe nie dotyczy </w:t>
      </w:r>
      <w:r w:rsidR="003408A3" w:rsidRPr="006A4442">
        <w:rPr>
          <w:rFonts w:cstheme="minorHAnsi"/>
        </w:rPr>
        <w:t xml:space="preserve">powszechnie występujących na rynku oraz standardowo stosowanych przez </w:t>
      </w:r>
      <w:r w:rsidR="006A4442" w:rsidRPr="006A4442">
        <w:rPr>
          <w:rFonts w:cstheme="minorHAnsi"/>
        </w:rPr>
        <w:t>Fundusz Pożyczkowy Woj</w:t>
      </w:r>
      <w:r w:rsidR="0064590A">
        <w:rPr>
          <w:rFonts w:cstheme="minorHAnsi"/>
        </w:rPr>
        <w:t>ewództwa Świę</w:t>
      </w:r>
      <w:r w:rsidR="006A4442" w:rsidRPr="006A4442">
        <w:rPr>
          <w:rFonts w:cstheme="minorHAnsi"/>
        </w:rPr>
        <w:t xml:space="preserve">tokrzyskiego Sp. z o.o. </w:t>
      </w:r>
      <w:r w:rsidR="00FD1A3D" w:rsidRPr="006A4442">
        <w:rPr>
          <w:rFonts w:cstheme="minorHAnsi"/>
        </w:rPr>
        <w:t xml:space="preserve"> </w:t>
      </w:r>
      <w:r w:rsidRPr="006A4442">
        <w:rPr>
          <w:rFonts w:cstheme="minorHAnsi"/>
        </w:rPr>
        <w:t xml:space="preserve">zabezpieczeń ustanawianych przez </w:t>
      </w:r>
      <w:r w:rsidR="0069098E" w:rsidRPr="006A4442">
        <w:rPr>
          <w:rFonts w:cstheme="minorHAnsi"/>
        </w:rPr>
        <w:t xml:space="preserve">Pożyczkobiorcę </w:t>
      </w:r>
      <w:r w:rsidRPr="006A4442">
        <w:rPr>
          <w:rFonts w:cstheme="minorHAnsi"/>
        </w:rPr>
        <w:t xml:space="preserve">na rzecz </w:t>
      </w:r>
      <w:r w:rsidR="006A4442" w:rsidRPr="006A4442">
        <w:rPr>
          <w:rFonts w:cstheme="minorHAnsi"/>
        </w:rPr>
        <w:t>Funduszu Pożyczkowego Woj</w:t>
      </w:r>
      <w:r w:rsidR="0064590A">
        <w:rPr>
          <w:rFonts w:cstheme="minorHAnsi"/>
        </w:rPr>
        <w:t>ewództwa Świę</w:t>
      </w:r>
      <w:r w:rsidR="006A4442" w:rsidRPr="006A4442">
        <w:rPr>
          <w:rFonts w:cstheme="minorHAnsi"/>
        </w:rPr>
        <w:t xml:space="preserve">tokrzyskiego Sp. z o.o. </w:t>
      </w:r>
      <w:r w:rsidR="00FD1A3D" w:rsidRPr="006A4442">
        <w:rPr>
          <w:rFonts w:cstheme="minorHAnsi"/>
        </w:rPr>
        <w:t xml:space="preserve"> </w:t>
      </w:r>
      <w:r w:rsidRPr="006A4442">
        <w:rPr>
          <w:rFonts w:cstheme="minorHAnsi"/>
        </w:rPr>
        <w:t xml:space="preserve">w związku z zawieraną umową </w:t>
      </w:r>
      <w:r w:rsidR="00A21B2D" w:rsidRPr="006A4442">
        <w:rPr>
          <w:rFonts w:cstheme="minorHAnsi"/>
        </w:rPr>
        <w:t>Pożyczki</w:t>
      </w:r>
      <w:r w:rsidR="00B904C3" w:rsidRPr="006A4442">
        <w:rPr>
          <w:rFonts w:cstheme="minorHAnsi"/>
        </w:rPr>
        <w:t xml:space="preserve">, z zastrzeżeniem, iż w przypadku zabezpieczenia takiego jak „cesja praw z polisy ubezpieczeniowej” </w:t>
      </w:r>
      <w:r w:rsidR="0069098E" w:rsidRPr="006A4442">
        <w:rPr>
          <w:rFonts w:cstheme="minorHAnsi"/>
        </w:rPr>
        <w:t xml:space="preserve">Pożyczkobiorca </w:t>
      </w:r>
      <w:r w:rsidR="00B904C3" w:rsidRPr="006A4442">
        <w:rPr>
          <w:rFonts w:cstheme="minorHAnsi"/>
        </w:rPr>
        <w:t>ma</w:t>
      </w:r>
      <w:r w:rsidR="003C5575" w:rsidRPr="006A4442">
        <w:rPr>
          <w:rFonts w:cstheme="minorHAnsi"/>
        </w:rPr>
        <w:t> </w:t>
      </w:r>
      <w:r w:rsidR="00B904C3" w:rsidRPr="006A4442">
        <w:rPr>
          <w:rFonts w:cstheme="minorHAnsi"/>
        </w:rPr>
        <w:t>możliwość wyboru oferty spośród ubezpieczycieli dostępnych na rynku.</w:t>
      </w:r>
    </w:p>
    <w:p w14:paraId="570C6081" w14:textId="610CDC33" w:rsidR="00FD2C5B" w:rsidRPr="006A4442" w:rsidRDefault="005F7B39" w:rsidP="006A4442">
      <w:pPr>
        <w:pStyle w:val="Akapitzlist"/>
        <w:numPr>
          <w:ilvl w:val="0"/>
          <w:numId w:val="12"/>
        </w:numPr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6A4442">
        <w:rPr>
          <w:rFonts w:cstheme="minorHAnsi"/>
        </w:rPr>
        <w:t>Wydatkowanie środków Pożyczki musi zostać należycie udokumentowane w </w:t>
      </w:r>
      <w:r w:rsidR="006E6C0F" w:rsidRPr="006A4442">
        <w:rPr>
          <w:rFonts w:cstheme="minorHAnsi"/>
        </w:rPr>
        <w:t xml:space="preserve">terminie do </w:t>
      </w:r>
      <w:r w:rsidR="00924E85" w:rsidRPr="006A4442">
        <w:rPr>
          <w:rFonts w:cstheme="minorHAnsi"/>
        </w:rPr>
        <w:t xml:space="preserve">90 </w:t>
      </w:r>
      <w:r w:rsidRPr="006A4442">
        <w:rPr>
          <w:rFonts w:cstheme="minorHAnsi"/>
        </w:rPr>
        <w:t xml:space="preserve">dni od dnia wypłaty całkowitej kwoty Pożyczki, przy czym termin ten dotyczy daty wystawienia dokumentów potwierdzających wydatkowanie środków. W uzasadnionych przypadkach, na wniosek </w:t>
      </w:r>
      <w:r w:rsidR="0069098E" w:rsidRPr="006A4442">
        <w:rPr>
          <w:rFonts w:cstheme="minorHAnsi"/>
        </w:rPr>
        <w:t xml:space="preserve">Pożyczkobiorcy </w:t>
      </w:r>
      <w:r w:rsidR="006A4442" w:rsidRPr="006A4442">
        <w:rPr>
          <w:rFonts w:cstheme="minorHAnsi"/>
        </w:rPr>
        <w:t>Fundusz Pożyczkowy Woj</w:t>
      </w:r>
      <w:r w:rsidR="0064590A">
        <w:rPr>
          <w:rFonts w:cstheme="minorHAnsi"/>
        </w:rPr>
        <w:t>ewództwa Świę</w:t>
      </w:r>
      <w:r w:rsidR="006A4442" w:rsidRPr="006A4442">
        <w:rPr>
          <w:rFonts w:cstheme="minorHAnsi"/>
        </w:rPr>
        <w:t xml:space="preserve">tokrzyskiego Sp. z o.o. </w:t>
      </w:r>
      <w:r w:rsidRPr="006A4442">
        <w:rPr>
          <w:rFonts w:cstheme="minorHAnsi"/>
        </w:rPr>
        <w:t xml:space="preserve"> może zaakceptować wydłużenie tego terminu</w:t>
      </w:r>
      <w:r w:rsidR="006E6C0F" w:rsidRPr="006A4442">
        <w:rPr>
          <w:rFonts w:cstheme="minorHAnsi"/>
        </w:rPr>
        <w:t xml:space="preserve"> maksymalnie o kolejne </w:t>
      </w:r>
      <w:r w:rsidR="00924E85" w:rsidRPr="006A4442">
        <w:rPr>
          <w:rFonts w:cstheme="minorHAnsi"/>
        </w:rPr>
        <w:t xml:space="preserve">90 </w:t>
      </w:r>
      <w:r w:rsidRPr="006A4442">
        <w:rPr>
          <w:rFonts w:cstheme="minorHAnsi"/>
        </w:rPr>
        <w:t xml:space="preserve">dni ze względu na charakter inwestycji. </w:t>
      </w:r>
    </w:p>
    <w:p w14:paraId="3C773000" w14:textId="0709DA24" w:rsidR="006E6C0F" w:rsidRPr="006A4442" w:rsidRDefault="005F7B39" w:rsidP="006A4442">
      <w:pPr>
        <w:pStyle w:val="Akapitzlist"/>
        <w:numPr>
          <w:ilvl w:val="0"/>
          <w:numId w:val="12"/>
        </w:numPr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6A4442">
        <w:rPr>
          <w:rFonts w:cstheme="minorHAnsi"/>
        </w:rPr>
        <w:t>Dokumentem potwierdzającym wydatkowanie środków zgodnie z celem, na jaki zostały przyznane jest faktura lub dokument równoważny w rozumieniu przepisów prawa krajowego</w:t>
      </w:r>
      <w:r w:rsidR="009674CB" w:rsidRPr="006A4442">
        <w:rPr>
          <w:rFonts w:cstheme="minorHAnsi"/>
        </w:rPr>
        <w:t xml:space="preserve">, wystawiony nie wcześniej niż w dniu złożenia wniosku o udzielenie </w:t>
      </w:r>
      <w:r w:rsidR="00AB48B4" w:rsidRPr="006A4442">
        <w:rPr>
          <w:rFonts w:cstheme="minorHAnsi"/>
        </w:rPr>
        <w:t>Pożyczki</w:t>
      </w:r>
      <w:r w:rsidR="009674CB" w:rsidRPr="006A4442">
        <w:rPr>
          <w:rFonts w:cstheme="minorHAnsi"/>
        </w:rPr>
        <w:t xml:space="preserve">. </w:t>
      </w:r>
      <w:r w:rsidR="00AB48B4" w:rsidRPr="006A4442">
        <w:rPr>
          <w:rFonts w:cstheme="minorHAnsi"/>
        </w:rPr>
        <w:t>Pożyczkodawca</w:t>
      </w:r>
      <w:r w:rsidR="009674CB" w:rsidRPr="006A4442">
        <w:rPr>
          <w:rFonts w:cstheme="minorHAnsi"/>
        </w:rPr>
        <w:t xml:space="preserve"> może przyjąć do rozliczenia dokument potwierdzający wydatkowanie </w:t>
      </w:r>
      <w:r w:rsidR="00AB48B4" w:rsidRPr="006A4442">
        <w:rPr>
          <w:rFonts w:cstheme="minorHAnsi"/>
        </w:rPr>
        <w:t>Pożyczki</w:t>
      </w:r>
      <w:r w:rsidR="009674CB" w:rsidRPr="006A4442">
        <w:rPr>
          <w:rFonts w:cstheme="minorHAnsi"/>
        </w:rPr>
        <w:t xml:space="preserve"> wystawiony z datą wcześniejszą, pod warunkiem, że pozyska on wiarygodne dowody, że przedstawiony dokument nie został opłacony przed dniem złożenia wniosku o udzielenie Pożyczki</w:t>
      </w:r>
      <w:r w:rsidRPr="006A4442">
        <w:rPr>
          <w:rFonts w:cstheme="minorHAnsi"/>
        </w:rPr>
        <w:t>.</w:t>
      </w:r>
    </w:p>
    <w:p w14:paraId="0026BE3E" w14:textId="40C75952" w:rsidR="006E6C0F" w:rsidRPr="006A4442" w:rsidRDefault="006E6C0F" w:rsidP="006A4442">
      <w:pPr>
        <w:pStyle w:val="Akapitzlist"/>
        <w:numPr>
          <w:ilvl w:val="0"/>
          <w:numId w:val="12"/>
        </w:numPr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6A4442">
        <w:rPr>
          <w:rFonts w:cstheme="minorHAnsi"/>
        </w:rPr>
        <w:t xml:space="preserve">Wszelka dokumentacja potwierdzająca wydatkowanie środków przez </w:t>
      </w:r>
      <w:r w:rsidR="0069098E" w:rsidRPr="006A4442">
        <w:rPr>
          <w:rFonts w:cstheme="minorHAnsi"/>
        </w:rPr>
        <w:t xml:space="preserve">Pożyczkobiorcę </w:t>
      </w:r>
      <w:r w:rsidRPr="006A4442">
        <w:rPr>
          <w:rFonts w:cstheme="minorHAnsi"/>
        </w:rPr>
        <w:t xml:space="preserve">powinna być, co do zasady, sporządzona w języku polskim, a w przypadku dokumentów wystawianych w języku </w:t>
      </w:r>
      <w:r w:rsidRPr="006A4442">
        <w:rPr>
          <w:rFonts w:cstheme="minorHAnsi"/>
        </w:rPr>
        <w:lastRenderedPageBreak/>
        <w:t xml:space="preserve">innym niż język polski, powinna zostać przetłumaczona na język polski przez </w:t>
      </w:r>
      <w:r w:rsidR="0069098E" w:rsidRPr="006A4442">
        <w:rPr>
          <w:rFonts w:cstheme="minorHAnsi"/>
        </w:rPr>
        <w:t xml:space="preserve">Pożyczkobiorcę </w:t>
      </w:r>
      <w:r w:rsidRPr="006A4442">
        <w:rPr>
          <w:rFonts w:cstheme="minorHAnsi"/>
        </w:rPr>
        <w:t>lub na jego zlecenie.</w:t>
      </w:r>
    </w:p>
    <w:p w14:paraId="4AF2C08B" w14:textId="4FC00CA0" w:rsidR="00EC07BB" w:rsidRPr="006A4442" w:rsidRDefault="00EC07BB" w:rsidP="006A4442">
      <w:pPr>
        <w:pStyle w:val="Akapitzlist"/>
        <w:keepNext/>
        <w:numPr>
          <w:ilvl w:val="0"/>
          <w:numId w:val="13"/>
        </w:numPr>
        <w:spacing w:before="120" w:after="120"/>
        <w:contextualSpacing w:val="0"/>
        <w:jc w:val="both"/>
        <w:rPr>
          <w:rFonts w:cstheme="minorHAnsi"/>
          <w:b/>
        </w:rPr>
      </w:pPr>
      <w:r w:rsidRPr="006A4442">
        <w:rPr>
          <w:rFonts w:cstheme="minorHAnsi"/>
          <w:b/>
        </w:rPr>
        <w:t>Przeznaczenie finansowania (Cele Inwestycji)</w:t>
      </w:r>
    </w:p>
    <w:p w14:paraId="19247A74" w14:textId="77777777" w:rsidR="00924E85" w:rsidRPr="006A4442" w:rsidRDefault="00924E85" w:rsidP="006A4442">
      <w:pPr>
        <w:numPr>
          <w:ilvl w:val="0"/>
          <w:numId w:val="31"/>
        </w:numPr>
        <w:spacing w:before="120" w:after="120"/>
        <w:ind w:left="426"/>
        <w:jc w:val="both"/>
        <w:rPr>
          <w:rFonts w:eastAsia="Times New Roman" w:cstheme="minorHAnsi"/>
          <w:iCs/>
          <w:lang w:eastAsia="pl-PL"/>
        </w:rPr>
      </w:pPr>
      <w:r w:rsidRPr="006A4442">
        <w:rPr>
          <w:rFonts w:eastAsia="Times New Roman" w:cstheme="minorHAnsi"/>
          <w:iCs/>
          <w:lang w:eastAsia="pl-PL"/>
        </w:rPr>
        <w:t xml:space="preserve">W ramach instrumentu finansowane będą inwestycje na wczesnym etapie funkcjonowania jak i na późniejszym etapie działalności na rynku na terenie województwa świętokrzyskiego, mające na celu wzrost liczby przedsiębiorstw innowacyjnych, wdrażających nowe lub istotnie ulepszone produkty lub usługi, m.in. poprzez inwestycje związane z: </w:t>
      </w:r>
    </w:p>
    <w:p w14:paraId="277A8451" w14:textId="77777777" w:rsidR="00924E85" w:rsidRPr="006A4442" w:rsidRDefault="00924E85" w:rsidP="006A4442">
      <w:pPr>
        <w:numPr>
          <w:ilvl w:val="0"/>
          <w:numId w:val="35"/>
        </w:numPr>
        <w:autoSpaceDN w:val="0"/>
        <w:spacing w:before="120" w:after="120"/>
        <w:ind w:left="993"/>
        <w:jc w:val="both"/>
        <w:rPr>
          <w:rFonts w:eastAsia="Times New Roman" w:cstheme="minorHAnsi"/>
          <w:iCs/>
          <w:lang w:eastAsia="pl-PL"/>
        </w:rPr>
      </w:pPr>
      <w:r w:rsidRPr="006A4442">
        <w:rPr>
          <w:rFonts w:eastAsia="Times New Roman" w:cstheme="minorHAnsi"/>
          <w:iCs/>
          <w:lang w:eastAsia="pl-PL"/>
        </w:rPr>
        <w:t xml:space="preserve">dostarczeniem kapitału zalążkowego i kapitału na rozruch; </w:t>
      </w:r>
    </w:p>
    <w:p w14:paraId="2232D88A" w14:textId="77777777" w:rsidR="00924E85" w:rsidRPr="006A4442" w:rsidRDefault="00924E85" w:rsidP="006A4442">
      <w:pPr>
        <w:numPr>
          <w:ilvl w:val="0"/>
          <w:numId w:val="35"/>
        </w:numPr>
        <w:autoSpaceDN w:val="0"/>
        <w:spacing w:before="120" w:after="120"/>
        <w:ind w:left="993"/>
        <w:jc w:val="both"/>
        <w:rPr>
          <w:rFonts w:eastAsia="Times New Roman" w:cstheme="minorHAnsi"/>
          <w:iCs/>
          <w:lang w:eastAsia="pl-PL"/>
        </w:rPr>
      </w:pPr>
      <w:r w:rsidRPr="006A4442">
        <w:rPr>
          <w:rFonts w:eastAsia="Times New Roman" w:cstheme="minorHAnsi"/>
          <w:iCs/>
          <w:lang w:eastAsia="pl-PL"/>
        </w:rPr>
        <w:t>możliwością pozyskania kapitału na rozszerzenie działalności;</w:t>
      </w:r>
    </w:p>
    <w:p w14:paraId="13A9FA0E" w14:textId="77777777" w:rsidR="00924E85" w:rsidRPr="006A4442" w:rsidRDefault="00924E85" w:rsidP="006A4442">
      <w:pPr>
        <w:numPr>
          <w:ilvl w:val="0"/>
          <w:numId w:val="35"/>
        </w:numPr>
        <w:autoSpaceDN w:val="0"/>
        <w:spacing w:before="120" w:after="120"/>
        <w:ind w:left="993"/>
        <w:jc w:val="both"/>
        <w:rPr>
          <w:rFonts w:eastAsia="Times New Roman" w:cstheme="minorHAnsi"/>
          <w:iCs/>
          <w:lang w:eastAsia="pl-PL"/>
        </w:rPr>
      </w:pPr>
      <w:r w:rsidRPr="006A4442">
        <w:rPr>
          <w:rFonts w:eastAsia="Times New Roman" w:cstheme="minorHAnsi"/>
          <w:iCs/>
          <w:lang w:eastAsia="pl-PL"/>
        </w:rPr>
        <w:t xml:space="preserve">pozyskaniem kapitału na wzmocnienie podstawowej działalności przedsiębiorstwa </w:t>
      </w:r>
      <w:r w:rsidRPr="006A4442">
        <w:rPr>
          <w:rFonts w:eastAsia="Times New Roman" w:cstheme="minorHAnsi"/>
          <w:iCs/>
          <w:lang w:eastAsia="pl-PL"/>
        </w:rPr>
        <w:br/>
        <w:t>lub realizację nowych projektów, a także przechodzenie przedsiębiorstw na nowe rynki lub na nowe rozwiązania;</w:t>
      </w:r>
    </w:p>
    <w:p w14:paraId="7AEAAF58" w14:textId="77777777" w:rsidR="00924E85" w:rsidRPr="006A4442" w:rsidRDefault="00924E85" w:rsidP="006A4442">
      <w:pPr>
        <w:numPr>
          <w:ilvl w:val="0"/>
          <w:numId w:val="35"/>
        </w:numPr>
        <w:autoSpaceDN w:val="0"/>
        <w:spacing w:before="120" w:after="120"/>
        <w:ind w:left="993"/>
        <w:jc w:val="both"/>
        <w:rPr>
          <w:rFonts w:eastAsia="Times New Roman" w:cstheme="minorHAnsi"/>
          <w:iCs/>
          <w:lang w:eastAsia="pl-PL"/>
        </w:rPr>
      </w:pPr>
      <w:r w:rsidRPr="006A4442">
        <w:rPr>
          <w:rFonts w:eastAsia="Times New Roman" w:cstheme="minorHAnsi"/>
          <w:iCs/>
          <w:lang w:eastAsia="pl-PL"/>
        </w:rPr>
        <w:t xml:space="preserve">zakupem nowoczesnego sprzętu, maszyn oraz linii do produkcji (w tym wdrożenie TIK </w:t>
      </w:r>
      <w:r w:rsidRPr="006A4442">
        <w:rPr>
          <w:rFonts w:eastAsia="Times New Roman" w:cstheme="minorHAnsi"/>
          <w:iCs/>
          <w:lang w:eastAsia="pl-PL"/>
        </w:rPr>
        <w:br/>
        <w:t>w przedsiębiorstwach).</w:t>
      </w:r>
    </w:p>
    <w:p w14:paraId="34E5FC3B" w14:textId="40172C00" w:rsidR="00685F1A" w:rsidRPr="006A4442" w:rsidRDefault="00685F1A" w:rsidP="006A4442">
      <w:pPr>
        <w:keepNext/>
        <w:numPr>
          <w:ilvl w:val="0"/>
          <w:numId w:val="31"/>
        </w:numPr>
        <w:spacing w:before="120" w:after="120"/>
        <w:ind w:left="426" w:hanging="357"/>
        <w:jc w:val="both"/>
        <w:rPr>
          <w:rFonts w:eastAsia="Calibri" w:cstheme="minorHAnsi"/>
          <w:iCs/>
          <w:lang w:eastAsia="pl-PL"/>
        </w:rPr>
      </w:pPr>
      <w:r w:rsidRPr="006A4442">
        <w:rPr>
          <w:rFonts w:eastAsia="Calibri" w:cstheme="minorHAnsi"/>
          <w:iCs/>
          <w:lang w:eastAsia="pl-PL"/>
        </w:rPr>
        <w:t>Z Pożyczki finansowane są wydatki w kwotach brutto tj. z podatkiem VAT, bez względu na to czy Pożyczkobiorca ma prawną możliwość odzyskania naliczonego podatku VAT.</w:t>
      </w:r>
    </w:p>
    <w:p w14:paraId="21C965B1" w14:textId="7F76EEA4" w:rsidR="00614CDD" w:rsidRPr="006A4442" w:rsidRDefault="00614CDD" w:rsidP="006A4442">
      <w:pPr>
        <w:pStyle w:val="Akapitzlist"/>
        <w:numPr>
          <w:ilvl w:val="0"/>
          <w:numId w:val="13"/>
        </w:numPr>
        <w:spacing w:before="120" w:after="120"/>
        <w:ind w:left="426" w:hanging="426"/>
        <w:contextualSpacing w:val="0"/>
        <w:jc w:val="both"/>
        <w:rPr>
          <w:rFonts w:cstheme="minorHAnsi"/>
          <w:b/>
        </w:rPr>
      </w:pPr>
      <w:r w:rsidRPr="006A4442">
        <w:rPr>
          <w:rFonts w:cstheme="minorHAnsi"/>
          <w:b/>
        </w:rPr>
        <w:t>Wykluczenia z finansowania</w:t>
      </w:r>
    </w:p>
    <w:p w14:paraId="464EFFD5" w14:textId="19354AA8" w:rsidR="00614CDD" w:rsidRPr="006A4442" w:rsidRDefault="00112915" w:rsidP="006A4442">
      <w:pPr>
        <w:pStyle w:val="Akapitzlist"/>
        <w:numPr>
          <w:ilvl w:val="0"/>
          <w:numId w:val="29"/>
        </w:numPr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6A4442">
        <w:rPr>
          <w:rFonts w:cstheme="minorHAnsi"/>
        </w:rPr>
        <w:t>Środki z Pożyczki nie mogą być przeznaczone na:</w:t>
      </w:r>
    </w:p>
    <w:p w14:paraId="1D5D9D99" w14:textId="49B61B54" w:rsidR="00C94EEB" w:rsidRPr="006A4442" w:rsidRDefault="00C94EEB" w:rsidP="006A4442">
      <w:pPr>
        <w:numPr>
          <w:ilvl w:val="0"/>
          <w:numId w:val="23"/>
        </w:numPr>
        <w:spacing w:before="120" w:after="120"/>
        <w:ind w:left="992" w:hanging="425"/>
        <w:jc w:val="both"/>
        <w:rPr>
          <w:rFonts w:cstheme="minorHAnsi"/>
        </w:rPr>
      </w:pPr>
      <w:r w:rsidRPr="006A4442">
        <w:rPr>
          <w:rFonts w:cstheme="minorHAnsi"/>
        </w:rPr>
        <w:t>finansowanie wydatków pokrytych uprzednio ze środków EFSI, z innych funduszy, programów, środków i instrumentów Unii Europejskiej lub innych źródeł pomocy krajowej lub zagranicznej;</w:t>
      </w:r>
    </w:p>
    <w:p w14:paraId="6A43445F" w14:textId="442A9153" w:rsidR="00112915" w:rsidRPr="006A4442" w:rsidRDefault="00112915" w:rsidP="006A4442">
      <w:pPr>
        <w:numPr>
          <w:ilvl w:val="0"/>
          <w:numId w:val="23"/>
        </w:numPr>
        <w:spacing w:before="120" w:after="120"/>
        <w:ind w:left="992" w:hanging="425"/>
        <w:jc w:val="both"/>
        <w:rPr>
          <w:rFonts w:cstheme="minorHAnsi"/>
        </w:rPr>
      </w:pPr>
      <w:r w:rsidRPr="006A4442">
        <w:rPr>
          <w:rFonts w:cstheme="minorHAnsi"/>
        </w:rPr>
        <w:t>prefinansowanie wydatków, na które otrzymano dofinansowanie w formie dotacji lub pomocy zwrotnej</w:t>
      </w:r>
    </w:p>
    <w:p w14:paraId="2B73AE68" w14:textId="0DA0ECA7" w:rsidR="00C94EEB" w:rsidRPr="006A4442" w:rsidRDefault="00C94EEB" w:rsidP="006A4442">
      <w:pPr>
        <w:numPr>
          <w:ilvl w:val="0"/>
          <w:numId w:val="23"/>
        </w:numPr>
        <w:spacing w:before="120" w:after="120"/>
        <w:ind w:left="992" w:hanging="425"/>
        <w:jc w:val="both"/>
        <w:rPr>
          <w:rFonts w:cstheme="minorHAnsi"/>
        </w:rPr>
      </w:pPr>
      <w:r w:rsidRPr="006A4442">
        <w:rPr>
          <w:rFonts w:cstheme="minorHAnsi"/>
        </w:rPr>
        <w:t xml:space="preserve">refinansowanie </w:t>
      </w:r>
      <w:r w:rsidR="00685F1A" w:rsidRPr="006A4442">
        <w:rPr>
          <w:rFonts w:cstheme="minorHAnsi"/>
        </w:rPr>
        <w:t>całości lub części wydatków</w:t>
      </w:r>
      <w:r w:rsidRPr="006A4442">
        <w:rPr>
          <w:rFonts w:cstheme="minorHAnsi"/>
        </w:rPr>
        <w:t xml:space="preserve">, które </w:t>
      </w:r>
      <w:r w:rsidR="00685F1A" w:rsidRPr="006A4442">
        <w:rPr>
          <w:rFonts w:cstheme="minorHAnsi"/>
        </w:rPr>
        <w:t>na dzień złożenia wniosku o udzielenie Pożyczki zostały już poniesione (tj. opłacone)</w:t>
      </w:r>
      <w:r w:rsidRPr="006A4442">
        <w:rPr>
          <w:rFonts w:cstheme="minorHAnsi"/>
        </w:rPr>
        <w:t>;</w:t>
      </w:r>
    </w:p>
    <w:p w14:paraId="0FF68BA0" w14:textId="77777777" w:rsidR="00C94EEB" w:rsidRPr="006A4442" w:rsidRDefault="00C94EEB" w:rsidP="006A4442">
      <w:pPr>
        <w:numPr>
          <w:ilvl w:val="0"/>
          <w:numId w:val="23"/>
        </w:numPr>
        <w:spacing w:before="120" w:after="120"/>
        <w:ind w:left="992" w:hanging="425"/>
        <w:jc w:val="both"/>
        <w:rPr>
          <w:rFonts w:cstheme="minorHAnsi"/>
        </w:rPr>
      </w:pPr>
      <w:r w:rsidRPr="006A4442">
        <w:rPr>
          <w:rFonts w:cstheme="minorHAnsi"/>
        </w:rPr>
        <w:t>refinansowanie jakichkolwiek pożyczek, kredytów lub rat leasingowych;</w:t>
      </w:r>
    </w:p>
    <w:p w14:paraId="00572350" w14:textId="5B4AC99D" w:rsidR="00C94EEB" w:rsidRPr="006A4442" w:rsidRDefault="00C94EEB" w:rsidP="006A4442">
      <w:pPr>
        <w:numPr>
          <w:ilvl w:val="0"/>
          <w:numId w:val="23"/>
        </w:numPr>
        <w:spacing w:before="120" w:after="120"/>
        <w:ind w:left="992" w:hanging="425"/>
        <w:jc w:val="both"/>
        <w:rPr>
          <w:rFonts w:cstheme="minorHAnsi"/>
        </w:rPr>
      </w:pPr>
      <w:r w:rsidRPr="006A4442">
        <w:rPr>
          <w:rFonts w:cstheme="minorHAnsi"/>
        </w:rPr>
        <w:t xml:space="preserve">dokonanie spłaty zobowiązań </w:t>
      </w:r>
      <w:proofErr w:type="spellStart"/>
      <w:r w:rsidRPr="006A4442">
        <w:rPr>
          <w:rFonts w:cstheme="minorHAnsi"/>
        </w:rPr>
        <w:t>publiczno</w:t>
      </w:r>
      <w:proofErr w:type="spellEnd"/>
      <w:r w:rsidRPr="006A4442">
        <w:rPr>
          <w:rFonts w:cstheme="minorHAnsi"/>
        </w:rPr>
        <w:t xml:space="preserve"> – prawnych </w:t>
      </w:r>
      <w:r w:rsidR="0069098E" w:rsidRPr="006A4442">
        <w:rPr>
          <w:rFonts w:cstheme="minorHAnsi"/>
        </w:rPr>
        <w:t>Pożyczkobiorcy</w:t>
      </w:r>
      <w:r w:rsidRPr="006A4442">
        <w:rPr>
          <w:rFonts w:cstheme="minorHAnsi"/>
        </w:rPr>
        <w:t>;</w:t>
      </w:r>
    </w:p>
    <w:p w14:paraId="5AF134AB" w14:textId="77777777" w:rsidR="00112915" w:rsidRPr="006A4442" w:rsidRDefault="00C94EEB" w:rsidP="006A4442">
      <w:pPr>
        <w:numPr>
          <w:ilvl w:val="0"/>
          <w:numId w:val="23"/>
        </w:numPr>
        <w:spacing w:before="120" w:after="120"/>
        <w:ind w:left="992" w:hanging="425"/>
        <w:jc w:val="both"/>
        <w:rPr>
          <w:rFonts w:cstheme="minorHAnsi"/>
        </w:rPr>
      </w:pPr>
      <w:r w:rsidRPr="006A4442">
        <w:rPr>
          <w:rFonts w:cstheme="minorHAnsi"/>
        </w:rPr>
        <w:t>finansowanie wydatków niezwiązanych bezpośrednio z Celem Inwestycji;</w:t>
      </w:r>
    </w:p>
    <w:p w14:paraId="619B5470" w14:textId="77777777" w:rsidR="00112915" w:rsidRPr="006A4442" w:rsidRDefault="00112915" w:rsidP="006A4442">
      <w:pPr>
        <w:pStyle w:val="Akapitzlist"/>
        <w:numPr>
          <w:ilvl w:val="0"/>
          <w:numId w:val="23"/>
        </w:numPr>
        <w:spacing w:before="120" w:after="120"/>
        <w:ind w:left="992" w:hanging="425"/>
        <w:contextualSpacing w:val="0"/>
        <w:jc w:val="both"/>
        <w:rPr>
          <w:rFonts w:cstheme="minorHAnsi"/>
        </w:rPr>
      </w:pPr>
      <w:r w:rsidRPr="006A4442">
        <w:rPr>
          <w:rFonts w:cstheme="minorHAnsi"/>
        </w:rPr>
        <w:t>finansowanie zakupu aktywów finansowych przeznaczonych do obrotu;</w:t>
      </w:r>
    </w:p>
    <w:p w14:paraId="1F0329C0" w14:textId="77777777" w:rsidR="00112915" w:rsidRPr="006A4442" w:rsidRDefault="00112915" w:rsidP="006A4442">
      <w:pPr>
        <w:pStyle w:val="Akapitzlist"/>
        <w:numPr>
          <w:ilvl w:val="0"/>
          <w:numId w:val="23"/>
        </w:numPr>
        <w:spacing w:before="120" w:after="120"/>
        <w:ind w:left="992" w:hanging="425"/>
        <w:contextualSpacing w:val="0"/>
        <w:jc w:val="both"/>
        <w:rPr>
          <w:rFonts w:cstheme="minorHAnsi"/>
        </w:rPr>
      </w:pPr>
      <w:r w:rsidRPr="006A4442">
        <w:rPr>
          <w:rFonts w:cstheme="minorHAnsi"/>
        </w:rPr>
        <w:t>finansowanie zakupu nieruchomości przeznaczonych do obrotu;</w:t>
      </w:r>
    </w:p>
    <w:p w14:paraId="54FEF959" w14:textId="7BB89D54" w:rsidR="00C94EEB" w:rsidRPr="006A4442" w:rsidRDefault="00C94EEB" w:rsidP="006A4442">
      <w:pPr>
        <w:numPr>
          <w:ilvl w:val="0"/>
          <w:numId w:val="23"/>
        </w:numPr>
        <w:spacing w:before="120" w:after="120"/>
        <w:ind w:left="992" w:hanging="425"/>
        <w:jc w:val="both"/>
        <w:rPr>
          <w:rFonts w:cstheme="minorHAnsi"/>
        </w:rPr>
      </w:pPr>
      <w:r w:rsidRPr="006A4442">
        <w:rPr>
          <w:rFonts w:cstheme="minorHAnsi"/>
        </w:rPr>
        <w:t xml:space="preserve">finansowanie kształcenia, szkolenia, szkolenia zawodowego pracowników lub innych przedsięwzięć bezpośrednio objętych zakresem rozporządzenia Parlamentu Europejskiego </w:t>
      </w:r>
      <w:r w:rsidR="00184984">
        <w:rPr>
          <w:rFonts w:cstheme="minorHAnsi"/>
        </w:rPr>
        <w:br/>
      </w:r>
      <w:r w:rsidRPr="006A4442">
        <w:rPr>
          <w:rFonts w:cstheme="minorHAnsi"/>
        </w:rPr>
        <w:t>i Rady (UE) nr 1304/2013 w sprawie Europejskiego Funduszu Społecznego;</w:t>
      </w:r>
    </w:p>
    <w:p w14:paraId="54B09FDA" w14:textId="77777777" w:rsidR="00C94EEB" w:rsidRPr="006A4442" w:rsidRDefault="00C94EEB" w:rsidP="006A4442">
      <w:pPr>
        <w:numPr>
          <w:ilvl w:val="0"/>
          <w:numId w:val="23"/>
        </w:numPr>
        <w:spacing w:before="120" w:after="120"/>
        <w:ind w:left="992" w:hanging="425"/>
        <w:jc w:val="both"/>
        <w:rPr>
          <w:rFonts w:cstheme="minorHAnsi"/>
        </w:rPr>
      </w:pPr>
      <w:r w:rsidRPr="006A4442">
        <w:rPr>
          <w:rFonts w:cstheme="minorHAnsi"/>
        </w:rPr>
        <w:t xml:space="preserve">finansowanie działalności w zakresie wytwarzania, przetwórstwa lub wprowadzania do obrotu przez producenta lub importera tytoniu i wyrobów tytoniowych; </w:t>
      </w:r>
    </w:p>
    <w:p w14:paraId="16F143D7" w14:textId="77777777" w:rsidR="00C94EEB" w:rsidRPr="006A4442" w:rsidRDefault="00C94EEB" w:rsidP="006A4442">
      <w:pPr>
        <w:numPr>
          <w:ilvl w:val="0"/>
          <w:numId w:val="23"/>
        </w:numPr>
        <w:spacing w:before="120" w:after="120"/>
        <w:ind w:left="992" w:hanging="425"/>
        <w:jc w:val="both"/>
        <w:rPr>
          <w:rFonts w:cstheme="minorHAnsi"/>
        </w:rPr>
      </w:pPr>
      <w:r w:rsidRPr="006A4442">
        <w:rPr>
          <w:rFonts w:cstheme="minorHAnsi"/>
        </w:rPr>
        <w:t>finansowanie działalności w zakresie produkcji lub wprowadzania do obrotu przez producenta lub importera napojów alkoholowych;</w:t>
      </w:r>
    </w:p>
    <w:p w14:paraId="40C45A2F" w14:textId="77777777" w:rsidR="00C94EEB" w:rsidRPr="006A4442" w:rsidRDefault="00C94EEB" w:rsidP="006A4442">
      <w:pPr>
        <w:numPr>
          <w:ilvl w:val="0"/>
          <w:numId w:val="23"/>
        </w:numPr>
        <w:spacing w:before="120" w:after="120"/>
        <w:ind w:left="992" w:hanging="425"/>
        <w:jc w:val="both"/>
        <w:rPr>
          <w:rFonts w:cstheme="minorHAnsi"/>
        </w:rPr>
      </w:pPr>
      <w:r w:rsidRPr="006A4442">
        <w:rPr>
          <w:rFonts w:cstheme="minorHAnsi"/>
        </w:rPr>
        <w:t>finansowanie działalności w zakresie produkcji lub wprowadzania do obrotu przez producenta lub importera treści pornograficznych;</w:t>
      </w:r>
    </w:p>
    <w:p w14:paraId="47C49710" w14:textId="77777777" w:rsidR="00C94EEB" w:rsidRPr="006A4442" w:rsidRDefault="00C94EEB" w:rsidP="006A4442">
      <w:pPr>
        <w:numPr>
          <w:ilvl w:val="0"/>
          <w:numId w:val="23"/>
        </w:numPr>
        <w:spacing w:before="120" w:after="120"/>
        <w:ind w:left="992" w:hanging="425"/>
        <w:jc w:val="both"/>
        <w:rPr>
          <w:rFonts w:cstheme="minorHAnsi"/>
        </w:rPr>
      </w:pPr>
      <w:r w:rsidRPr="006A4442">
        <w:rPr>
          <w:rFonts w:cstheme="minorHAnsi"/>
        </w:rPr>
        <w:lastRenderedPageBreak/>
        <w:t>finansowanie działalności w zakresie obrotu materiałami wybuchowymi, bronią i amunicją;</w:t>
      </w:r>
    </w:p>
    <w:p w14:paraId="5BE4206B" w14:textId="77777777" w:rsidR="00C94EEB" w:rsidRPr="006A4442" w:rsidRDefault="00C94EEB" w:rsidP="006A4442">
      <w:pPr>
        <w:numPr>
          <w:ilvl w:val="0"/>
          <w:numId w:val="23"/>
        </w:numPr>
        <w:spacing w:before="120" w:after="120"/>
        <w:ind w:left="992" w:hanging="425"/>
        <w:jc w:val="both"/>
        <w:rPr>
          <w:rFonts w:cstheme="minorHAnsi"/>
        </w:rPr>
      </w:pPr>
      <w:r w:rsidRPr="006A4442">
        <w:rPr>
          <w:rFonts w:cstheme="minorHAnsi"/>
        </w:rPr>
        <w:t>finansowanie działalności w zakresie gier losowych, zakładów wzajemnych, gier na automatach i gier na automatach o niskich wygranych;</w:t>
      </w:r>
    </w:p>
    <w:p w14:paraId="59BCA061" w14:textId="77777777" w:rsidR="00C94EEB" w:rsidRPr="006A4442" w:rsidRDefault="00C94EEB" w:rsidP="006A4442">
      <w:pPr>
        <w:numPr>
          <w:ilvl w:val="0"/>
          <w:numId w:val="23"/>
        </w:numPr>
        <w:spacing w:before="120" w:after="120"/>
        <w:ind w:left="992" w:hanging="425"/>
        <w:jc w:val="both"/>
        <w:rPr>
          <w:rFonts w:cstheme="minorHAnsi"/>
        </w:rPr>
      </w:pPr>
      <w:r w:rsidRPr="006A4442">
        <w:rPr>
          <w:rFonts w:cstheme="minorHAnsi"/>
        </w:rPr>
        <w:t>finansowanie działalności w zakresie produkcji lub wprowadzania do obrotu przez producenta lub importera środków odurzających, substancji psychotropowych lub prekursorów;</w:t>
      </w:r>
    </w:p>
    <w:p w14:paraId="34619E94" w14:textId="77777777" w:rsidR="00C94EEB" w:rsidRPr="006A4442" w:rsidRDefault="00C94EEB" w:rsidP="006A4442">
      <w:pPr>
        <w:numPr>
          <w:ilvl w:val="0"/>
          <w:numId w:val="23"/>
        </w:numPr>
        <w:spacing w:before="120" w:after="120"/>
        <w:ind w:left="992" w:hanging="425"/>
        <w:jc w:val="both"/>
        <w:rPr>
          <w:rFonts w:cstheme="minorHAnsi"/>
        </w:rPr>
      </w:pPr>
      <w:r w:rsidRPr="006A4442">
        <w:rPr>
          <w:rFonts w:cstheme="minorHAnsi"/>
        </w:rPr>
        <w:t>finansowanie likwidacji lub budowy elektrowni jądrowych;</w:t>
      </w:r>
    </w:p>
    <w:p w14:paraId="200D587A" w14:textId="77777777" w:rsidR="00C94EEB" w:rsidRPr="006A4442" w:rsidRDefault="00C94EEB" w:rsidP="006A4442">
      <w:pPr>
        <w:numPr>
          <w:ilvl w:val="0"/>
          <w:numId w:val="23"/>
        </w:numPr>
        <w:spacing w:before="120" w:after="120"/>
        <w:ind w:left="992" w:hanging="425"/>
        <w:jc w:val="both"/>
        <w:rPr>
          <w:rFonts w:cstheme="minorHAnsi"/>
        </w:rPr>
      </w:pPr>
      <w:r w:rsidRPr="006A4442">
        <w:rPr>
          <w:rFonts w:cstheme="minorHAnsi"/>
        </w:rPr>
        <w:t>finansowanie inwestycji na rzecz redukcji emisji gazów cieplarnianych pochodzących z listy działań wymienionych w załączniku I do dyrektywy 2003/87/WE;</w:t>
      </w:r>
    </w:p>
    <w:p w14:paraId="3B080973" w14:textId="74789659" w:rsidR="00C94EEB" w:rsidRPr="006A4442" w:rsidRDefault="00C94EEB" w:rsidP="006A4442">
      <w:pPr>
        <w:numPr>
          <w:ilvl w:val="0"/>
          <w:numId w:val="23"/>
        </w:numPr>
        <w:spacing w:before="120" w:after="120"/>
        <w:ind w:left="992" w:hanging="425"/>
        <w:jc w:val="both"/>
        <w:rPr>
          <w:rFonts w:cstheme="minorHAnsi"/>
        </w:rPr>
      </w:pPr>
      <w:r w:rsidRPr="006A4442">
        <w:rPr>
          <w:rFonts w:cstheme="minorHAnsi"/>
        </w:rPr>
        <w:t xml:space="preserve">finansowanie inwestycji w infrastrukturę portów lotniczych, chyba że są one związane </w:t>
      </w:r>
      <w:r w:rsidR="00184984">
        <w:rPr>
          <w:rFonts w:cstheme="minorHAnsi"/>
        </w:rPr>
        <w:br/>
      </w:r>
      <w:r w:rsidRPr="006A4442">
        <w:rPr>
          <w:rFonts w:cstheme="minorHAnsi"/>
        </w:rPr>
        <w:t>z ochroną środowiska lub towarzyszą im inwestycje niezbędne do łagodzenia lub ograniczenia ich negatywnego oddziaływania na środowisko.</w:t>
      </w:r>
    </w:p>
    <w:p w14:paraId="67C7B005" w14:textId="77777777" w:rsidR="00C94198" w:rsidRPr="006A4442" w:rsidRDefault="00C94198" w:rsidP="006A4442">
      <w:pPr>
        <w:pStyle w:val="Akapitzlist"/>
        <w:numPr>
          <w:ilvl w:val="0"/>
          <w:numId w:val="13"/>
        </w:numPr>
        <w:spacing w:before="120" w:after="120"/>
        <w:ind w:left="426" w:hanging="426"/>
        <w:contextualSpacing w:val="0"/>
        <w:jc w:val="both"/>
        <w:rPr>
          <w:rFonts w:cstheme="minorHAnsi"/>
          <w:b/>
        </w:rPr>
      </w:pPr>
      <w:r w:rsidRPr="006A4442">
        <w:rPr>
          <w:rFonts w:cstheme="minorHAnsi"/>
          <w:b/>
        </w:rPr>
        <w:t>Ograniczenia w finansowaniu</w:t>
      </w:r>
    </w:p>
    <w:p w14:paraId="72B8A680" w14:textId="71A38520" w:rsidR="00CE36D6" w:rsidRPr="006A4442" w:rsidRDefault="00C94198" w:rsidP="006A4442">
      <w:pPr>
        <w:pStyle w:val="Akapitzlist"/>
        <w:numPr>
          <w:ilvl w:val="0"/>
          <w:numId w:val="6"/>
        </w:numPr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6A4442">
        <w:rPr>
          <w:rFonts w:cstheme="minorHAnsi"/>
        </w:rPr>
        <w:t xml:space="preserve">Finansowanie zakupu gruntów niezabudowanych i zabudowanych w ramach finansowanej inwestycji możliwe jest do wysokości 10% </w:t>
      </w:r>
      <w:r w:rsidR="00143B24" w:rsidRPr="006A4442">
        <w:rPr>
          <w:rFonts w:cstheme="minorHAnsi"/>
        </w:rPr>
        <w:t>środków</w:t>
      </w:r>
      <w:r w:rsidR="002341C7" w:rsidRPr="006A4442">
        <w:rPr>
          <w:rFonts w:cstheme="minorHAnsi"/>
        </w:rPr>
        <w:t xml:space="preserve"> </w:t>
      </w:r>
      <w:r w:rsidRPr="006A4442">
        <w:rPr>
          <w:rFonts w:cstheme="minorHAnsi"/>
        </w:rPr>
        <w:t>wypłacon</w:t>
      </w:r>
      <w:r w:rsidR="00143B24" w:rsidRPr="006A4442">
        <w:rPr>
          <w:rFonts w:cstheme="minorHAnsi"/>
        </w:rPr>
        <w:t>ych</w:t>
      </w:r>
      <w:r w:rsidRPr="006A4442">
        <w:rPr>
          <w:rFonts w:cstheme="minorHAnsi"/>
        </w:rPr>
        <w:t xml:space="preserve"> na rzecz </w:t>
      </w:r>
      <w:r w:rsidR="0069098E" w:rsidRPr="006A4442">
        <w:rPr>
          <w:rFonts w:cstheme="minorHAnsi"/>
        </w:rPr>
        <w:t>Pożyczkobiorcy</w:t>
      </w:r>
      <w:r w:rsidRPr="006A4442">
        <w:rPr>
          <w:rFonts w:cstheme="minorHAnsi"/>
        </w:rPr>
        <w:t>.</w:t>
      </w:r>
    </w:p>
    <w:p w14:paraId="44ED5D26" w14:textId="29372140" w:rsidR="00EC07BB" w:rsidRPr="006A4442" w:rsidRDefault="00EC07BB" w:rsidP="006A4442">
      <w:pPr>
        <w:pStyle w:val="Akapitzlist"/>
        <w:numPr>
          <w:ilvl w:val="0"/>
          <w:numId w:val="6"/>
        </w:numPr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6A4442">
        <w:rPr>
          <w:rFonts w:cstheme="minorHAnsi"/>
        </w:rPr>
        <w:t xml:space="preserve">Finansowanie kapitału obrotowego jest możliwe wyłącznie do wysokości 50% </w:t>
      </w:r>
      <w:r w:rsidR="00A21B2D" w:rsidRPr="006A4442">
        <w:rPr>
          <w:rFonts w:cstheme="minorHAnsi"/>
        </w:rPr>
        <w:t>Pożyczki</w:t>
      </w:r>
      <w:r w:rsidRPr="006A4442">
        <w:rPr>
          <w:rFonts w:cstheme="minorHAnsi"/>
        </w:rPr>
        <w:t>, przy czym przeznaczenie kapitału obrotowego jest bezpośrednio związane z realizacją przedsięwzięcia rozwojowego, na które zostało przyznane finansowanie.</w:t>
      </w:r>
    </w:p>
    <w:p w14:paraId="3E51EA9C" w14:textId="512CD7AE" w:rsidR="00905033" w:rsidRPr="006A4442" w:rsidRDefault="00905033" w:rsidP="006A4442">
      <w:pPr>
        <w:pStyle w:val="Akapitzlist"/>
        <w:numPr>
          <w:ilvl w:val="0"/>
          <w:numId w:val="6"/>
        </w:numPr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6A4442">
        <w:rPr>
          <w:rFonts w:cstheme="minorHAnsi"/>
          <w:spacing w:val="-2"/>
        </w:rPr>
        <w:t xml:space="preserve">Środki </w:t>
      </w:r>
      <w:r w:rsidR="00A21B2D" w:rsidRPr="006A4442">
        <w:rPr>
          <w:rFonts w:cstheme="minorHAnsi"/>
          <w:spacing w:val="-2"/>
        </w:rPr>
        <w:t xml:space="preserve">Pożyczki </w:t>
      </w:r>
      <w:r w:rsidRPr="006A4442">
        <w:rPr>
          <w:rFonts w:cstheme="minorHAnsi"/>
          <w:spacing w:val="-2"/>
        </w:rPr>
        <w:t xml:space="preserve">nie mogą nakładać się finansowaniem z Europejskich Funduszy Strukturalnych </w:t>
      </w:r>
      <w:r w:rsidR="00184984">
        <w:rPr>
          <w:rFonts w:cstheme="minorHAnsi"/>
          <w:spacing w:val="-2"/>
        </w:rPr>
        <w:br/>
      </w:r>
      <w:r w:rsidRPr="006A4442">
        <w:rPr>
          <w:rFonts w:cstheme="minorHAnsi"/>
          <w:spacing w:val="-2"/>
        </w:rPr>
        <w:t>i Inwestycyjnych, z innych funduszy, programów, środków i instrumentów Unii Europejskiej, a także innych źródeł pomocy krajowej i zagranicznej.</w:t>
      </w:r>
    </w:p>
    <w:p w14:paraId="366D8A23" w14:textId="43035B0F" w:rsidR="005C057F" w:rsidRPr="006A4442" w:rsidRDefault="005C057F" w:rsidP="006A4442">
      <w:pPr>
        <w:pStyle w:val="Akapitzlist"/>
        <w:numPr>
          <w:ilvl w:val="0"/>
          <w:numId w:val="13"/>
        </w:numPr>
        <w:spacing w:before="120" w:after="120"/>
        <w:ind w:left="426" w:hanging="426"/>
        <w:contextualSpacing w:val="0"/>
        <w:jc w:val="both"/>
        <w:rPr>
          <w:rFonts w:cstheme="minorHAnsi"/>
          <w:b/>
        </w:rPr>
      </w:pPr>
      <w:r w:rsidRPr="006A4442">
        <w:rPr>
          <w:rFonts w:cstheme="minorHAnsi"/>
          <w:b/>
        </w:rPr>
        <w:t xml:space="preserve">Zasady </w:t>
      </w:r>
      <w:r w:rsidR="00EE07F6" w:rsidRPr="006A4442">
        <w:rPr>
          <w:rFonts w:cstheme="minorHAnsi"/>
          <w:b/>
        </w:rPr>
        <w:t xml:space="preserve">odpłatności za udzielenie </w:t>
      </w:r>
      <w:r w:rsidR="00A21B2D" w:rsidRPr="006A4442">
        <w:rPr>
          <w:rFonts w:cstheme="minorHAnsi"/>
          <w:b/>
        </w:rPr>
        <w:t xml:space="preserve">Pożyczki </w:t>
      </w:r>
      <w:r w:rsidR="001E06EE" w:rsidRPr="006A4442">
        <w:rPr>
          <w:rFonts w:cstheme="minorHAnsi"/>
          <w:b/>
        </w:rPr>
        <w:t>dla MŚP</w:t>
      </w:r>
    </w:p>
    <w:p w14:paraId="2359390F" w14:textId="150D4B73" w:rsidR="001D353E" w:rsidRPr="006A4442" w:rsidRDefault="00A21B2D" w:rsidP="006A4442">
      <w:pPr>
        <w:pStyle w:val="Akapitzlist"/>
        <w:numPr>
          <w:ilvl w:val="0"/>
          <w:numId w:val="2"/>
        </w:numPr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6A4442">
        <w:rPr>
          <w:rFonts w:cstheme="minorHAnsi"/>
        </w:rPr>
        <w:t xml:space="preserve">Pożyczka </w:t>
      </w:r>
      <w:r w:rsidR="00EE07F6" w:rsidRPr="006A4442">
        <w:rPr>
          <w:rFonts w:cstheme="minorHAnsi"/>
        </w:rPr>
        <w:t>mo</w:t>
      </w:r>
      <w:r w:rsidR="00FD1A3D" w:rsidRPr="006A4442">
        <w:rPr>
          <w:rFonts w:cstheme="minorHAnsi"/>
        </w:rPr>
        <w:t>że</w:t>
      </w:r>
      <w:r w:rsidR="00EE07F6" w:rsidRPr="006A4442">
        <w:rPr>
          <w:rFonts w:cstheme="minorHAnsi"/>
        </w:rPr>
        <w:t xml:space="preserve"> być </w:t>
      </w:r>
      <w:r w:rsidR="00FD1A3D" w:rsidRPr="006A4442">
        <w:rPr>
          <w:rFonts w:cstheme="minorHAnsi"/>
        </w:rPr>
        <w:t>oprocentowana</w:t>
      </w:r>
      <w:r w:rsidR="005C057F" w:rsidRPr="006A4442">
        <w:rPr>
          <w:rFonts w:cstheme="minorHAnsi"/>
        </w:rPr>
        <w:t>:</w:t>
      </w:r>
    </w:p>
    <w:p w14:paraId="30EEADD8" w14:textId="405B1816" w:rsidR="00D30604" w:rsidRPr="006A4442" w:rsidRDefault="00D30604" w:rsidP="006A4442">
      <w:pPr>
        <w:pStyle w:val="Akapitzlist"/>
        <w:numPr>
          <w:ilvl w:val="0"/>
          <w:numId w:val="15"/>
        </w:numPr>
        <w:spacing w:before="120" w:after="120"/>
        <w:ind w:left="993" w:hanging="426"/>
        <w:contextualSpacing w:val="0"/>
        <w:jc w:val="both"/>
        <w:rPr>
          <w:rFonts w:cstheme="minorHAnsi"/>
        </w:rPr>
      </w:pPr>
      <w:r w:rsidRPr="006A4442">
        <w:rPr>
          <w:rFonts w:cstheme="minorHAnsi"/>
          <w:b/>
        </w:rPr>
        <w:t>na warunkach rynkowych</w:t>
      </w:r>
      <w:r w:rsidRPr="006A4442">
        <w:rPr>
          <w:rFonts w:cstheme="minorHAnsi"/>
        </w:rPr>
        <w:t xml:space="preserve">, </w:t>
      </w:r>
      <w:r w:rsidRPr="006A4442">
        <w:rPr>
          <w:rFonts w:cstheme="minorHAnsi"/>
          <w:u w:val="single"/>
        </w:rPr>
        <w:t>według stopy referencyjnej</w:t>
      </w:r>
      <w:r w:rsidRPr="006A4442">
        <w:rPr>
          <w:rFonts w:cstheme="minorHAnsi"/>
        </w:rPr>
        <w:t xml:space="preserve"> obliczanej przy zastosowaniu obowiązującej stopy bazowej oraz marży ustalonej w oparciu o </w:t>
      </w:r>
      <w:r w:rsidRPr="006A4442">
        <w:rPr>
          <w:rFonts w:cstheme="minorHAnsi"/>
          <w:iCs/>
        </w:rPr>
        <w:t>Komunikat Komisji Europejskiej w sprawie zmiany metody ustalania stóp referencyjnych i dyskontowych</w:t>
      </w:r>
      <w:r w:rsidRPr="006A4442">
        <w:rPr>
          <w:rFonts w:cstheme="minorHAnsi"/>
          <w:i/>
          <w:iCs/>
        </w:rPr>
        <w:t xml:space="preserve"> </w:t>
      </w:r>
      <w:r w:rsidRPr="006A4442">
        <w:rPr>
          <w:rFonts w:cstheme="minorHAnsi"/>
        </w:rPr>
        <w:t xml:space="preserve">(Dz. Urz. UE C 14 </w:t>
      </w:r>
      <w:r w:rsidR="00184984">
        <w:rPr>
          <w:rFonts w:cstheme="minorHAnsi"/>
        </w:rPr>
        <w:br/>
      </w:r>
      <w:r w:rsidRPr="006A4442">
        <w:rPr>
          <w:rFonts w:cstheme="minorHAnsi"/>
        </w:rPr>
        <w:t xml:space="preserve">z 19.1.2008 r. lub komunikatu zastępującego) oraz po przeprowadzeniu analizy ryzyka niespłacenia zaciągniętego przez przedsiębiorcę zobowiązania </w:t>
      </w:r>
      <w:r w:rsidRPr="006A4442">
        <w:rPr>
          <w:rFonts w:cstheme="minorHAnsi"/>
          <w:bCs/>
        </w:rPr>
        <w:t xml:space="preserve">na podstawie wdrożonej i akceptowanej w sektorze finansowym metodologii wyznaczania współczynnika ryzyka. </w:t>
      </w:r>
    </w:p>
    <w:p w14:paraId="68081929" w14:textId="607A762D" w:rsidR="00A543DB" w:rsidRPr="006A4442" w:rsidRDefault="00BB66EA" w:rsidP="006A4442">
      <w:pPr>
        <w:pStyle w:val="Akapitzlist"/>
        <w:spacing w:before="120" w:after="120"/>
        <w:ind w:left="993"/>
        <w:contextualSpacing w:val="0"/>
        <w:jc w:val="both"/>
        <w:rPr>
          <w:rFonts w:cstheme="minorHAnsi"/>
          <w:b/>
        </w:rPr>
      </w:pPr>
      <w:r w:rsidRPr="006A4442">
        <w:rPr>
          <w:rFonts w:cstheme="minorHAnsi"/>
          <w:b/>
        </w:rPr>
        <w:t xml:space="preserve">Stopa bazowa </w:t>
      </w:r>
      <w:r w:rsidR="008D7DD7" w:rsidRPr="006A4442">
        <w:rPr>
          <w:rFonts w:cstheme="minorHAnsi"/>
          <w:b/>
        </w:rPr>
        <w:t>publikowana jest</w:t>
      </w:r>
      <w:r w:rsidRPr="006A4442">
        <w:rPr>
          <w:rFonts w:cstheme="minorHAnsi"/>
          <w:b/>
        </w:rPr>
        <w:t xml:space="preserve"> przez Komisję</w:t>
      </w:r>
      <w:r w:rsidR="008D7DD7" w:rsidRPr="006A4442">
        <w:rPr>
          <w:rFonts w:cstheme="minorHAnsi"/>
          <w:b/>
        </w:rPr>
        <w:t xml:space="preserve"> Europejską w dzienniku Urzędowym Unii Europejskiej i dostępna jest na stronie: </w:t>
      </w:r>
    </w:p>
    <w:p w14:paraId="123A451F" w14:textId="631EC958" w:rsidR="008D7DD7" w:rsidRPr="006A4442" w:rsidRDefault="00DF1606" w:rsidP="006A4442">
      <w:pPr>
        <w:pStyle w:val="Akapitzlist"/>
        <w:spacing w:before="120" w:after="120"/>
        <w:ind w:left="993"/>
        <w:contextualSpacing w:val="0"/>
        <w:jc w:val="both"/>
        <w:rPr>
          <w:rFonts w:cstheme="minorHAnsi"/>
        </w:rPr>
      </w:pPr>
      <w:hyperlink r:id="rId9" w:history="1">
        <w:r w:rsidR="008D7DD7" w:rsidRPr="006A4442">
          <w:rPr>
            <w:rStyle w:val="Hipercze"/>
            <w:rFonts w:cstheme="minorHAnsi"/>
          </w:rPr>
          <w:t>http://ec.europa.eu/competition/state_aid/legislation/reference_rates.html</w:t>
        </w:r>
      </w:hyperlink>
    </w:p>
    <w:p w14:paraId="3F3B5441" w14:textId="57D8123B" w:rsidR="008D7DD7" w:rsidRPr="006A4442" w:rsidRDefault="008D7DD7" w:rsidP="006A4442">
      <w:pPr>
        <w:pStyle w:val="Akapitzlist"/>
        <w:spacing w:before="120" w:after="120"/>
        <w:ind w:left="993"/>
        <w:contextualSpacing w:val="0"/>
        <w:jc w:val="both"/>
        <w:rPr>
          <w:rFonts w:cstheme="minorHAnsi"/>
        </w:rPr>
      </w:pPr>
      <w:r w:rsidRPr="006A4442">
        <w:rPr>
          <w:rFonts w:cstheme="minorHAnsi"/>
        </w:rPr>
        <w:t>oraz</w:t>
      </w:r>
    </w:p>
    <w:p w14:paraId="2F1F1E3F" w14:textId="4A1FCD36" w:rsidR="008D7DD7" w:rsidRPr="006A4442" w:rsidRDefault="00DF1606" w:rsidP="006A4442">
      <w:pPr>
        <w:pStyle w:val="Akapitzlist"/>
        <w:spacing w:before="120" w:after="120"/>
        <w:ind w:left="993"/>
        <w:contextualSpacing w:val="0"/>
        <w:jc w:val="both"/>
        <w:rPr>
          <w:rFonts w:cstheme="minorHAnsi"/>
        </w:rPr>
      </w:pPr>
      <w:hyperlink r:id="rId10" w:history="1">
        <w:r w:rsidR="008D7DD7" w:rsidRPr="006A4442">
          <w:rPr>
            <w:rStyle w:val="Hipercze"/>
            <w:rFonts w:cstheme="minorHAnsi"/>
          </w:rPr>
          <w:t>https://uokik.gov.pl/stopa_referencyjna_i_archiwum.php</w:t>
        </w:r>
      </w:hyperlink>
    </w:p>
    <w:p w14:paraId="688C7AF9" w14:textId="01B7D0B9" w:rsidR="00875729" w:rsidRPr="006A4442" w:rsidRDefault="00EC07BB" w:rsidP="006A4442">
      <w:pPr>
        <w:numPr>
          <w:ilvl w:val="0"/>
          <w:numId w:val="15"/>
        </w:numPr>
        <w:spacing w:before="120" w:after="120"/>
        <w:ind w:left="993" w:hanging="426"/>
        <w:jc w:val="both"/>
        <w:rPr>
          <w:rFonts w:cstheme="minorHAnsi"/>
        </w:rPr>
      </w:pPr>
      <w:r w:rsidRPr="006A4442">
        <w:rPr>
          <w:rFonts w:cstheme="minorHAnsi"/>
          <w:b/>
        </w:rPr>
        <w:t xml:space="preserve">na warunkach korzystniejszych niż rynkowe, </w:t>
      </w:r>
      <w:r w:rsidR="001D353E" w:rsidRPr="006A4442">
        <w:rPr>
          <w:rFonts w:cstheme="minorHAnsi"/>
        </w:rPr>
        <w:t xml:space="preserve">zgodnie z zasadami udzielania pomocy de </w:t>
      </w:r>
      <w:proofErr w:type="spellStart"/>
      <w:r w:rsidR="001D353E" w:rsidRPr="006A4442">
        <w:rPr>
          <w:rFonts w:cstheme="minorHAnsi"/>
        </w:rPr>
        <w:t>minimis</w:t>
      </w:r>
      <w:proofErr w:type="spellEnd"/>
      <w:r w:rsidR="001D353E" w:rsidRPr="006A4442">
        <w:rPr>
          <w:rFonts w:cstheme="minorHAnsi"/>
        </w:rPr>
        <w:t>, o których mowa w Rozporządzeniu Komisji</w:t>
      </w:r>
      <w:r w:rsidR="00DE13ED" w:rsidRPr="006A4442">
        <w:rPr>
          <w:rFonts w:cstheme="minorHAnsi"/>
        </w:rPr>
        <w:t xml:space="preserve"> </w:t>
      </w:r>
      <w:r w:rsidR="001D353E" w:rsidRPr="006A4442">
        <w:rPr>
          <w:rFonts w:cstheme="minorHAnsi"/>
        </w:rPr>
        <w:t xml:space="preserve">(UE) nr 1407/2013 z dnia 18 grudnia 2013 r. w sprawie stosowania art. 107 i 108 Traktatu o funkcjonowaniu Unii Europejskiej do pomocy de </w:t>
      </w:r>
      <w:proofErr w:type="spellStart"/>
      <w:r w:rsidR="001D353E" w:rsidRPr="006A4442">
        <w:rPr>
          <w:rFonts w:cstheme="minorHAnsi"/>
        </w:rPr>
        <w:t>minimis</w:t>
      </w:r>
      <w:proofErr w:type="spellEnd"/>
      <w:r w:rsidR="001D353E" w:rsidRPr="006A4442">
        <w:rPr>
          <w:rFonts w:cstheme="minorHAnsi"/>
        </w:rPr>
        <w:t xml:space="preserve"> oraz Rozporządzenia Ministra </w:t>
      </w:r>
      <w:r w:rsidR="005C057F" w:rsidRPr="006A4442">
        <w:rPr>
          <w:rFonts w:cstheme="minorHAnsi"/>
        </w:rPr>
        <w:t xml:space="preserve">Infrastruktury i </w:t>
      </w:r>
      <w:r w:rsidR="001D353E" w:rsidRPr="006A4442">
        <w:rPr>
          <w:rFonts w:cstheme="minorHAnsi"/>
        </w:rPr>
        <w:t xml:space="preserve">Rozwoju </w:t>
      </w:r>
      <w:r w:rsidR="005C057F" w:rsidRPr="006A4442">
        <w:rPr>
          <w:rFonts w:cstheme="minorHAnsi"/>
        </w:rPr>
        <w:t xml:space="preserve">z dnia 19 marca 2015 r. </w:t>
      </w:r>
      <w:r w:rsidR="00184984">
        <w:rPr>
          <w:rFonts w:cstheme="minorHAnsi"/>
        </w:rPr>
        <w:br/>
      </w:r>
      <w:r w:rsidR="005C057F" w:rsidRPr="006A4442">
        <w:rPr>
          <w:rFonts w:cstheme="minorHAnsi"/>
        </w:rPr>
        <w:t xml:space="preserve">w sprawie udzielania pomocy de </w:t>
      </w:r>
      <w:proofErr w:type="spellStart"/>
      <w:r w:rsidR="005C057F" w:rsidRPr="006A4442">
        <w:rPr>
          <w:rFonts w:cstheme="minorHAnsi"/>
        </w:rPr>
        <w:t>minimis</w:t>
      </w:r>
      <w:proofErr w:type="spellEnd"/>
      <w:r w:rsidR="005C057F" w:rsidRPr="006A4442">
        <w:rPr>
          <w:rFonts w:cstheme="minorHAnsi"/>
        </w:rPr>
        <w:t xml:space="preserve"> w ramach regionalnych programów operacyjnych na lata 2014–2020</w:t>
      </w:r>
      <w:r w:rsidR="00675EC4" w:rsidRPr="006A4442">
        <w:rPr>
          <w:rFonts w:cstheme="minorHAnsi"/>
        </w:rPr>
        <w:t xml:space="preserve"> (Dz.U. 2015 poz. 488 z późniejszymi zmianami)</w:t>
      </w:r>
      <w:r w:rsidR="005C057F" w:rsidRPr="006A4442">
        <w:rPr>
          <w:rFonts w:cstheme="minorHAnsi"/>
        </w:rPr>
        <w:t xml:space="preserve">. </w:t>
      </w:r>
    </w:p>
    <w:p w14:paraId="38820F5C" w14:textId="15773C47" w:rsidR="008F1716" w:rsidRPr="006A4442" w:rsidRDefault="00EC07BB" w:rsidP="006A4442">
      <w:pPr>
        <w:spacing w:before="120" w:after="120"/>
        <w:ind w:left="993"/>
        <w:jc w:val="both"/>
        <w:rPr>
          <w:rFonts w:cstheme="minorHAnsi"/>
        </w:rPr>
      </w:pPr>
      <w:r w:rsidRPr="006A4442">
        <w:rPr>
          <w:rFonts w:cstheme="minorHAnsi"/>
        </w:rPr>
        <w:lastRenderedPageBreak/>
        <w:t xml:space="preserve">Oprocentowanie </w:t>
      </w:r>
      <w:r w:rsidR="00A21B2D" w:rsidRPr="006A4442">
        <w:rPr>
          <w:rFonts w:cstheme="minorHAnsi"/>
        </w:rPr>
        <w:t xml:space="preserve">Pożyczki </w:t>
      </w:r>
      <w:r w:rsidRPr="006A4442">
        <w:rPr>
          <w:rFonts w:cstheme="minorHAnsi"/>
        </w:rPr>
        <w:t xml:space="preserve">udzielanej na zasadach korzystniejszych niż rynkowe jest stałe </w:t>
      </w:r>
      <w:r w:rsidR="00184984">
        <w:rPr>
          <w:rFonts w:cstheme="minorHAnsi"/>
        </w:rPr>
        <w:br/>
      </w:r>
      <w:r w:rsidRPr="006A4442">
        <w:rPr>
          <w:rFonts w:cstheme="minorHAnsi"/>
        </w:rPr>
        <w:t xml:space="preserve">w całym okresie jej obowiązywania </w:t>
      </w:r>
      <w:r w:rsidR="00A21B2D" w:rsidRPr="006A4442">
        <w:rPr>
          <w:rFonts w:cstheme="minorHAnsi"/>
        </w:rPr>
        <w:t xml:space="preserve">i ustalane jest </w:t>
      </w:r>
      <w:r w:rsidRPr="006A4442">
        <w:rPr>
          <w:rFonts w:cstheme="minorHAnsi"/>
        </w:rPr>
        <w:t xml:space="preserve">przy zastosowaniu stopy procentowej </w:t>
      </w:r>
      <w:r w:rsidR="00184984">
        <w:rPr>
          <w:rFonts w:cstheme="minorHAnsi"/>
        </w:rPr>
        <w:br/>
      </w:r>
      <w:r w:rsidRPr="006A4442">
        <w:rPr>
          <w:rFonts w:cstheme="minorHAnsi"/>
        </w:rPr>
        <w:t>w wysokości</w:t>
      </w:r>
      <w:r w:rsidR="00A21B2D" w:rsidRPr="006A4442">
        <w:rPr>
          <w:rFonts w:cstheme="minorHAnsi"/>
          <w:b/>
        </w:rPr>
        <w:t xml:space="preserve"> </w:t>
      </w:r>
      <w:r w:rsidR="008F1716" w:rsidRPr="006A4442">
        <w:rPr>
          <w:rFonts w:cstheme="minorHAnsi"/>
          <w:b/>
        </w:rPr>
        <w:t xml:space="preserve">stopy bazowej </w:t>
      </w:r>
      <w:r w:rsidR="008F1716" w:rsidRPr="006A4442">
        <w:rPr>
          <w:rFonts w:cstheme="minorHAnsi"/>
        </w:rPr>
        <w:t>dla pożyczek udzielanych w złotych polskich z dnia udzielenia</w:t>
      </w:r>
      <w:r w:rsidR="00A21B2D" w:rsidRPr="006A4442">
        <w:rPr>
          <w:rFonts w:cstheme="minorHAnsi"/>
        </w:rPr>
        <w:t>,</w:t>
      </w:r>
      <w:r w:rsidR="008F1716" w:rsidRPr="006A4442">
        <w:rPr>
          <w:rFonts w:cstheme="minorHAnsi"/>
        </w:rPr>
        <w:t xml:space="preserve"> przy czym wysokość stopy bazowej określona jest przez Komisję Europejską zgodnie z Komunikatem w sprawie zmiany metody ustalania stóp referencyjnych i dyskontowych </w:t>
      </w:r>
      <w:r w:rsidR="008F1716" w:rsidRPr="006A4442">
        <w:rPr>
          <w:rFonts w:cstheme="minorHAnsi"/>
          <w:iCs/>
        </w:rPr>
        <w:t xml:space="preserve">nr </w:t>
      </w:r>
      <w:r w:rsidR="008F1716" w:rsidRPr="006A4442">
        <w:rPr>
          <w:rFonts w:cstheme="minorHAnsi"/>
        </w:rPr>
        <w:t>2008/C 14/02</w:t>
      </w:r>
      <w:r w:rsidR="008F1716" w:rsidRPr="006A4442">
        <w:rPr>
          <w:rFonts w:cstheme="minorHAnsi"/>
          <w:iCs/>
        </w:rPr>
        <w:t xml:space="preserve"> </w:t>
      </w:r>
      <w:r w:rsidR="00184984">
        <w:rPr>
          <w:rFonts w:cstheme="minorHAnsi"/>
          <w:iCs/>
        </w:rPr>
        <w:br/>
      </w:r>
      <w:r w:rsidR="008F1716" w:rsidRPr="006A4442">
        <w:rPr>
          <w:rFonts w:cstheme="minorHAnsi"/>
          <w:iCs/>
        </w:rPr>
        <w:t xml:space="preserve">o którym mowa w </w:t>
      </w:r>
      <w:proofErr w:type="spellStart"/>
      <w:r w:rsidR="008F1716" w:rsidRPr="006A4442">
        <w:rPr>
          <w:rFonts w:cstheme="minorHAnsi"/>
          <w:iCs/>
        </w:rPr>
        <w:t>ppkt</w:t>
      </w:r>
      <w:proofErr w:type="spellEnd"/>
      <w:r w:rsidR="008F1716" w:rsidRPr="006A4442">
        <w:rPr>
          <w:rFonts w:cstheme="minorHAnsi"/>
          <w:iCs/>
        </w:rPr>
        <w:t xml:space="preserve"> 1) powyżej.</w:t>
      </w:r>
    </w:p>
    <w:p w14:paraId="6B6667C0" w14:textId="5A5C7871" w:rsidR="00EC07BB" w:rsidRPr="006A4442" w:rsidRDefault="00EC07BB" w:rsidP="006A4442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6A4442">
        <w:rPr>
          <w:rFonts w:cstheme="minorHAnsi"/>
        </w:rPr>
        <w:t xml:space="preserve">W przypadku niespełnienia przez </w:t>
      </w:r>
      <w:r w:rsidR="0069098E" w:rsidRPr="006A4442">
        <w:rPr>
          <w:rFonts w:cstheme="minorHAnsi"/>
        </w:rPr>
        <w:t xml:space="preserve">Pożyczkobiorcę </w:t>
      </w:r>
      <w:r w:rsidRPr="006A4442">
        <w:rPr>
          <w:rFonts w:cstheme="minorHAnsi"/>
        </w:rPr>
        <w:t xml:space="preserve">jakiegokolwiek z warunków umożliwiających udzielenie pomocy de </w:t>
      </w:r>
      <w:proofErr w:type="spellStart"/>
      <w:r w:rsidRPr="006A4442">
        <w:rPr>
          <w:rFonts w:cstheme="minorHAnsi"/>
        </w:rPr>
        <w:t>minimis</w:t>
      </w:r>
      <w:proofErr w:type="spellEnd"/>
      <w:r w:rsidRPr="006A4442">
        <w:rPr>
          <w:rFonts w:cstheme="minorHAnsi"/>
        </w:rPr>
        <w:t xml:space="preserve"> finansowanie jest udzielane na zasadach rynkowych.</w:t>
      </w:r>
    </w:p>
    <w:p w14:paraId="2B1AD9EA" w14:textId="1A502D50" w:rsidR="00897B41" w:rsidRPr="006A4442" w:rsidRDefault="00EF5F4D" w:rsidP="006A4442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before="120" w:after="120"/>
        <w:ind w:left="426" w:hanging="426"/>
        <w:contextualSpacing w:val="0"/>
        <w:jc w:val="both"/>
        <w:rPr>
          <w:rFonts w:cstheme="minorHAnsi"/>
        </w:rPr>
      </w:pPr>
      <w:r w:rsidRPr="006A4442">
        <w:rPr>
          <w:rFonts w:cstheme="minorHAnsi"/>
        </w:rPr>
        <w:t xml:space="preserve">Od środków </w:t>
      </w:r>
      <w:r w:rsidR="00D40685" w:rsidRPr="006A4442">
        <w:rPr>
          <w:rFonts w:cstheme="minorHAnsi"/>
        </w:rPr>
        <w:t xml:space="preserve">Pożyczki </w:t>
      </w:r>
      <w:r w:rsidRPr="006A4442">
        <w:rPr>
          <w:rFonts w:cstheme="minorHAnsi"/>
        </w:rPr>
        <w:t xml:space="preserve">nie pobiera się żadnych opłat i prowizji związanych z ich </w:t>
      </w:r>
      <w:r w:rsidR="0055197A" w:rsidRPr="006A4442">
        <w:rPr>
          <w:rFonts w:cstheme="minorHAnsi"/>
        </w:rPr>
        <w:t>udostępnieniem</w:t>
      </w:r>
      <w:r w:rsidRPr="006A4442">
        <w:rPr>
          <w:rFonts w:cstheme="minorHAnsi"/>
        </w:rPr>
        <w:t xml:space="preserve"> </w:t>
      </w:r>
      <w:r w:rsidR="00184984">
        <w:rPr>
          <w:rFonts w:cstheme="minorHAnsi"/>
        </w:rPr>
        <w:br/>
      </w:r>
      <w:bookmarkStart w:id="0" w:name="_GoBack"/>
      <w:bookmarkEnd w:id="0"/>
      <w:r w:rsidRPr="006A4442">
        <w:rPr>
          <w:rFonts w:cstheme="minorHAnsi"/>
        </w:rPr>
        <w:t xml:space="preserve">i obsługą. </w:t>
      </w:r>
      <w:r w:rsidR="00EB2075" w:rsidRPr="006A4442">
        <w:rPr>
          <w:rFonts w:cstheme="minorHAnsi"/>
        </w:rPr>
        <w:t>Powyższe nie dotyczy odrębnie uregulowanych czynności windykacyjnych.</w:t>
      </w:r>
    </w:p>
    <w:p w14:paraId="5895198C" w14:textId="069D549B" w:rsidR="00112915" w:rsidRPr="006A4442" w:rsidRDefault="00112915" w:rsidP="006A4442">
      <w:pPr>
        <w:spacing w:before="120" w:after="120"/>
        <w:rPr>
          <w:rFonts w:cstheme="minorHAnsi"/>
        </w:rPr>
      </w:pPr>
    </w:p>
    <w:p w14:paraId="2B97B8E1" w14:textId="77777777" w:rsidR="004E6364" w:rsidRPr="006A4442" w:rsidRDefault="004E6364" w:rsidP="006A4442">
      <w:pPr>
        <w:tabs>
          <w:tab w:val="num" w:pos="426"/>
        </w:tabs>
        <w:spacing w:before="120" w:after="120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</w:tblGrid>
      <w:tr w:rsidR="004E6364" w:rsidRPr="006A4442" w14:paraId="292BE5BA" w14:textId="74D682DC" w:rsidTr="004E6364">
        <w:tc>
          <w:tcPr>
            <w:tcW w:w="3212" w:type="dxa"/>
            <w:tcBorders>
              <w:bottom w:val="dotted" w:sz="4" w:space="0" w:color="auto"/>
            </w:tcBorders>
          </w:tcPr>
          <w:p w14:paraId="6F56E2D3" w14:textId="3B36344B" w:rsidR="004E6364" w:rsidRPr="006A4442" w:rsidRDefault="004E6364" w:rsidP="006A4442">
            <w:pPr>
              <w:tabs>
                <w:tab w:val="num" w:pos="426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6364" w:rsidRPr="006A4442" w14:paraId="44B09798" w14:textId="4D5A480A" w:rsidTr="004E6364">
        <w:tc>
          <w:tcPr>
            <w:tcW w:w="3212" w:type="dxa"/>
            <w:tcBorders>
              <w:top w:val="dotted" w:sz="4" w:space="0" w:color="auto"/>
            </w:tcBorders>
          </w:tcPr>
          <w:p w14:paraId="1418D8A8" w14:textId="6EC8A22A" w:rsidR="004E6364" w:rsidRPr="006A4442" w:rsidRDefault="004E6364" w:rsidP="006A4442">
            <w:pPr>
              <w:tabs>
                <w:tab w:val="num" w:pos="426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444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Podpis </w:t>
            </w:r>
            <w:r w:rsidR="00511011" w:rsidRPr="006A444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pożyczkodawcy</w:t>
            </w:r>
          </w:p>
        </w:tc>
      </w:tr>
    </w:tbl>
    <w:p w14:paraId="014D0978" w14:textId="1B8A84C5" w:rsidR="004E6364" w:rsidRPr="006A4442" w:rsidRDefault="004E6364" w:rsidP="006A4442">
      <w:pPr>
        <w:tabs>
          <w:tab w:val="num" w:pos="426"/>
        </w:tabs>
        <w:spacing w:before="120" w:after="120"/>
        <w:jc w:val="both"/>
        <w:rPr>
          <w:rFonts w:cstheme="minorHAnsi"/>
        </w:rPr>
      </w:pPr>
    </w:p>
    <w:p w14:paraId="3B6C3FC7" w14:textId="2C144AF1" w:rsidR="004E6364" w:rsidRPr="006A4442" w:rsidRDefault="004E6364" w:rsidP="006A4442">
      <w:pPr>
        <w:tabs>
          <w:tab w:val="num" w:pos="426"/>
        </w:tabs>
        <w:spacing w:before="120" w:after="120"/>
        <w:jc w:val="both"/>
        <w:rPr>
          <w:rFonts w:cstheme="minorHAnsi"/>
        </w:rPr>
      </w:pPr>
    </w:p>
    <w:p w14:paraId="03FBD6B1" w14:textId="3DC4B5B8" w:rsidR="004E6364" w:rsidRPr="006A4442" w:rsidRDefault="004E6364" w:rsidP="006A4442">
      <w:pPr>
        <w:tabs>
          <w:tab w:val="num" w:pos="426"/>
        </w:tabs>
        <w:spacing w:before="120" w:after="120"/>
        <w:jc w:val="both"/>
        <w:rPr>
          <w:rFonts w:cstheme="minorHAnsi"/>
        </w:rPr>
      </w:pPr>
      <w:r w:rsidRPr="006A4442">
        <w:rPr>
          <w:rFonts w:cstheme="minorHAnsi"/>
        </w:rPr>
        <w:t>Oświadczam, iż zapoznałem się z treścią niniejszego dokumentu:</w:t>
      </w:r>
    </w:p>
    <w:p w14:paraId="0D02CB34" w14:textId="3E7C2DE8" w:rsidR="004E6364" w:rsidRPr="006A4442" w:rsidRDefault="004E6364" w:rsidP="006A4442">
      <w:pPr>
        <w:tabs>
          <w:tab w:val="num" w:pos="426"/>
        </w:tabs>
        <w:spacing w:before="120" w:after="120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12"/>
      </w:tblGrid>
      <w:tr w:rsidR="004E6364" w:rsidRPr="006A4442" w14:paraId="0E586003" w14:textId="5E72DBF2" w:rsidTr="004E6364">
        <w:tc>
          <w:tcPr>
            <w:tcW w:w="321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27FE6C" w14:textId="3CFA03DC" w:rsidR="004E6364" w:rsidRPr="006A4442" w:rsidRDefault="004E6364" w:rsidP="006A4442">
            <w:pPr>
              <w:tabs>
                <w:tab w:val="num" w:pos="426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6364" w:rsidRPr="006A4442" w14:paraId="03E504F5" w14:textId="4C3AEECC" w:rsidTr="004E6364">
        <w:tc>
          <w:tcPr>
            <w:tcW w:w="321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F68006B" w14:textId="3D038CBC" w:rsidR="004E6364" w:rsidRPr="006A4442" w:rsidRDefault="004E6364" w:rsidP="006A4442">
            <w:pPr>
              <w:tabs>
                <w:tab w:val="num" w:pos="426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444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Podpis </w:t>
            </w:r>
            <w:r w:rsidR="003E578E" w:rsidRPr="006A444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pożyczkobiorcy</w:t>
            </w:r>
          </w:p>
        </w:tc>
      </w:tr>
    </w:tbl>
    <w:p w14:paraId="42D78444" w14:textId="77777777" w:rsidR="004E6364" w:rsidRPr="006A4442" w:rsidRDefault="004E6364" w:rsidP="006A4442">
      <w:pPr>
        <w:tabs>
          <w:tab w:val="num" w:pos="426"/>
        </w:tabs>
        <w:spacing w:before="120" w:after="120"/>
        <w:jc w:val="both"/>
        <w:rPr>
          <w:rFonts w:cstheme="minorHAnsi"/>
        </w:rPr>
      </w:pPr>
    </w:p>
    <w:sectPr w:rsidR="004E6364" w:rsidRPr="006A4442" w:rsidSect="00924E8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3" w:bottom="1135" w:left="1276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56BDC" w14:textId="77777777" w:rsidR="00DF1606" w:rsidRDefault="00DF1606" w:rsidP="00BA3860">
      <w:pPr>
        <w:spacing w:after="0" w:line="240" w:lineRule="auto"/>
      </w:pPr>
      <w:r>
        <w:separator/>
      </w:r>
    </w:p>
  </w:endnote>
  <w:endnote w:type="continuationSeparator" w:id="0">
    <w:p w14:paraId="2212C6C9" w14:textId="77777777" w:rsidR="00DF1606" w:rsidRDefault="00DF1606" w:rsidP="00BA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615265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5BACBC1" w14:textId="5EB95293" w:rsidR="00F57684" w:rsidRDefault="00F5768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498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498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174086" w14:textId="77777777" w:rsidR="003E4B31" w:rsidRDefault="003E4B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1F3F5" w14:textId="758F5A7D" w:rsidR="00924E85" w:rsidRDefault="00DB089F" w:rsidP="00DB089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F12DF96" wp14:editId="7CD79580">
          <wp:extent cx="5400040" cy="577850"/>
          <wp:effectExtent l="0" t="0" r="0" b="0"/>
          <wp:docPr id="4" name="Obraz 4" descr="sfr_pasek_z_logami_bk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fr_pasek_z_logami_bk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04AA8" w14:textId="77777777" w:rsidR="00DF1606" w:rsidRDefault="00DF1606" w:rsidP="00BA3860">
      <w:pPr>
        <w:spacing w:after="0" w:line="240" w:lineRule="auto"/>
      </w:pPr>
      <w:r>
        <w:separator/>
      </w:r>
    </w:p>
  </w:footnote>
  <w:footnote w:type="continuationSeparator" w:id="0">
    <w:p w14:paraId="3C956471" w14:textId="77777777" w:rsidR="00DF1606" w:rsidRDefault="00DF1606" w:rsidP="00BA3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9461E" w14:textId="27538CEB" w:rsidR="00F57684" w:rsidRDefault="00F57684" w:rsidP="00924E85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0E26A" w14:textId="0314F866" w:rsidR="007167EC" w:rsidRDefault="007167EC" w:rsidP="007167EC">
    <w:pPr>
      <w:pStyle w:val="Nagwek"/>
    </w:pPr>
    <w:r>
      <w:rPr>
        <w:noProof/>
        <w:lang w:eastAsia="pl-PL"/>
      </w:rPr>
      <w:drawing>
        <wp:inline distT="0" distB="0" distL="0" distR="0" wp14:anchorId="594575B1" wp14:editId="3795A62E">
          <wp:extent cx="1552575" cy="310515"/>
          <wp:effectExtent l="0" t="0" r="9525" b="0"/>
          <wp:docPr id="2" name="Obraz 2" descr="sw przedsi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 przedsi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CC1A14" w14:textId="3FFA39E1" w:rsidR="00924E85" w:rsidRDefault="00924E85" w:rsidP="00924E85">
    <w:pPr>
      <w:pStyle w:val="Nagwek"/>
    </w:pPr>
    <w:r>
      <w:rPr>
        <w:noProof/>
      </w:rPr>
      <w:t xml:space="preserve">                                                                          </w:t>
    </w:r>
    <w:r>
      <w:t xml:space="preserve"> </w:t>
    </w:r>
  </w:p>
  <w:p w14:paraId="64CF8CC5" w14:textId="77777777" w:rsidR="00924E85" w:rsidRDefault="00924E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66E"/>
    <w:multiLevelType w:val="hybridMultilevel"/>
    <w:tmpl w:val="B2528560"/>
    <w:lvl w:ilvl="0" w:tplc="9E16351A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ascii="Times New Roman" w:hAnsi="Times New Roman" w:hint="default"/>
        <w:b w:val="0"/>
        <w:i w:val="0"/>
        <w:sz w:val="22"/>
      </w:rPr>
    </w:lvl>
    <w:lvl w:ilvl="1" w:tplc="234C911A">
      <w:start w:val="6"/>
      <w:numFmt w:val="upperRoman"/>
      <w:lvlText w:val="%2."/>
      <w:lvlJc w:val="left"/>
      <w:pPr>
        <w:tabs>
          <w:tab w:val="num" w:pos="-363"/>
        </w:tabs>
        <w:ind w:left="-363" w:hanging="357"/>
      </w:pPr>
      <w:rPr>
        <w:rFonts w:ascii="Thorndale AMT" w:hAnsi="Thorndale AMT" w:hint="default"/>
        <w:b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">
    <w:nsid w:val="0463065F"/>
    <w:multiLevelType w:val="hybridMultilevel"/>
    <w:tmpl w:val="9A0EA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65A50"/>
    <w:multiLevelType w:val="hybridMultilevel"/>
    <w:tmpl w:val="4BA0CD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CD53D5"/>
    <w:multiLevelType w:val="hybridMultilevel"/>
    <w:tmpl w:val="4BA0CD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BC46B6"/>
    <w:multiLevelType w:val="hybridMultilevel"/>
    <w:tmpl w:val="BDF01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E6FC1"/>
    <w:multiLevelType w:val="hybridMultilevel"/>
    <w:tmpl w:val="0F9AE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A7D64"/>
    <w:multiLevelType w:val="hybridMultilevel"/>
    <w:tmpl w:val="B336D3A4"/>
    <w:lvl w:ilvl="0" w:tplc="477A6EE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D64D23"/>
    <w:multiLevelType w:val="hybridMultilevel"/>
    <w:tmpl w:val="E88CCC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1943F55"/>
    <w:multiLevelType w:val="hybridMultilevel"/>
    <w:tmpl w:val="D9621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927DB"/>
    <w:multiLevelType w:val="hybridMultilevel"/>
    <w:tmpl w:val="64B4C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62625"/>
    <w:multiLevelType w:val="hybridMultilevel"/>
    <w:tmpl w:val="C61CDD6C"/>
    <w:lvl w:ilvl="0" w:tplc="745A38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D76A89"/>
    <w:multiLevelType w:val="hybridMultilevel"/>
    <w:tmpl w:val="472AA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017E8"/>
    <w:multiLevelType w:val="hybridMultilevel"/>
    <w:tmpl w:val="0248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C7CFD"/>
    <w:multiLevelType w:val="hybridMultilevel"/>
    <w:tmpl w:val="956021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81A55E6"/>
    <w:multiLevelType w:val="hybridMultilevel"/>
    <w:tmpl w:val="4BA0CD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802E4C"/>
    <w:multiLevelType w:val="hybridMultilevel"/>
    <w:tmpl w:val="64B4C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2E468C"/>
    <w:multiLevelType w:val="hybridMultilevel"/>
    <w:tmpl w:val="4948BA9E"/>
    <w:lvl w:ilvl="0" w:tplc="204A29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DAA4639"/>
    <w:multiLevelType w:val="hybridMultilevel"/>
    <w:tmpl w:val="11EE3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A5240"/>
    <w:multiLevelType w:val="hybridMultilevel"/>
    <w:tmpl w:val="35184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724171"/>
    <w:multiLevelType w:val="hybridMultilevel"/>
    <w:tmpl w:val="A04ABE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0C7C42"/>
    <w:multiLevelType w:val="hybridMultilevel"/>
    <w:tmpl w:val="9E1C37C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9281A06"/>
    <w:multiLevelType w:val="hybridMultilevel"/>
    <w:tmpl w:val="E84C6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056390"/>
    <w:multiLevelType w:val="hybridMultilevel"/>
    <w:tmpl w:val="2C7E380A"/>
    <w:lvl w:ilvl="0" w:tplc="4D6EF7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1EF5352"/>
    <w:multiLevelType w:val="hybridMultilevel"/>
    <w:tmpl w:val="683A196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32375EC"/>
    <w:multiLevelType w:val="hybridMultilevel"/>
    <w:tmpl w:val="04B4DC36"/>
    <w:lvl w:ilvl="0" w:tplc="75D2807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3822EFB"/>
    <w:multiLevelType w:val="hybridMultilevel"/>
    <w:tmpl w:val="09FC4E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5D745A0"/>
    <w:multiLevelType w:val="hybridMultilevel"/>
    <w:tmpl w:val="E1D89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0D3C6D"/>
    <w:multiLevelType w:val="hybridMultilevel"/>
    <w:tmpl w:val="CED07DF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5453F8"/>
    <w:multiLevelType w:val="hybridMultilevel"/>
    <w:tmpl w:val="5968573A"/>
    <w:lvl w:ilvl="0" w:tplc="78AE3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576886"/>
    <w:multiLevelType w:val="hybridMultilevel"/>
    <w:tmpl w:val="BC860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522241"/>
    <w:multiLevelType w:val="hybridMultilevel"/>
    <w:tmpl w:val="8EF4B8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66D7556"/>
    <w:multiLevelType w:val="hybridMultilevel"/>
    <w:tmpl w:val="6C242E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6D52897"/>
    <w:multiLevelType w:val="hybridMultilevel"/>
    <w:tmpl w:val="59DE0194"/>
    <w:lvl w:ilvl="0" w:tplc="75D28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55327C"/>
    <w:multiLevelType w:val="hybridMultilevel"/>
    <w:tmpl w:val="304A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595B48"/>
    <w:multiLevelType w:val="hybridMultilevel"/>
    <w:tmpl w:val="32369870"/>
    <w:lvl w:ilvl="0" w:tplc="FED026E8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Thorndale AMT" w:hAnsi="Thorndale AMT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9"/>
  </w:num>
  <w:num w:numId="3">
    <w:abstractNumId w:val="0"/>
  </w:num>
  <w:num w:numId="4">
    <w:abstractNumId w:val="11"/>
  </w:num>
  <w:num w:numId="5">
    <w:abstractNumId w:val="21"/>
  </w:num>
  <w:num w:numId="6">
    <w:abstractNumId w:val="26"/>
  </w:num>
  <w:num w:numId="7">
    <w:abstractNumId w:val="20"/>
  </w:num>
  <w:num w:numId="8">
    <w:abstractNumId w:val="17"/>
  </w:num>
  <w:num w:numId="9">
    <w:abstractNumId w:val="27"/>
  </w:num>
  <w:num w:numId="10">
    <w:abstractNumId w:val="34"/>
  </w:num>
  <w:num w:numId="11">
    <w:abstractNumId w:val="4"/>
  </w:num>
  <w:num w:numId="12">
    <w:abstractNumId w:val="33"/>
  </w:num>
  <w:num w:numId="13">
    <w:abstractNumId w:val="22"/>
  </w:num>
  <w:num w:numId="14">
    <w:abstractNumId w:val="9"/>
  </w:num>
  <w:num w:numId="15">
    <w:abstractNumId w:val="6"/>
  </w:num>
  <w:num w:numId="16">
    <w:abstractNumId w:val="23"/>
  </w:num>
  <w:num w:numId="17">
    <w:abstractNumId w:val="31"/>
  </w:num>
  <w:num w:numId="18">
    <w:abstractNumId w:val="30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3"/>
  </w:num>
  <w:num w:numId="24">
    <w:abstractNumId w:val="15"/>
  </w:num>
  <w:num w:numId="25">
    <w:abstractNumId w:val="2"/>
  </w:num>
  <w:num w:numId="26">
    <w:abstractNumId w:val="25"/>
  </w:num>
  <w:num w:numId="27">
    <w:abstractNumId w:val="7"/>
  </w:num>
  <w:num w:numId="28">
    <w:abstractNumId w:val="16"/>
  </w:num>
  <w:num w:numId="29">
    <w:abstractNumId w:val="28"/>
  </w:num>
  <w:num w:numId="30">
    <w:abstractNumId w:val="24"/>
  </w:num>
  <w:num w:numId="31">
    <w:abstractNumId w:val="12"/>
  </w:num>
  <w:num w:numId="32">
    <w:abstractNumId w:val="32"/>
  </w:num>
  <w:num w:numId="33">
    <w:abstractNumId w:val="5"/>
  </w:num>
  <w:num w:numId="34">
    <w:abstractNumId w:val="19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76"/>
    <w:rsid w:val="00004BAA"/>
    <w:rsid w:val="00013256"/>
    <w:rsid w:val="00023B04"/>
    <w:rsid w:val="00024080"/>
    <w:rsid w:val="00055219"/>
    <w:rsid w:val="000710BD"/>
    <w:rsid w:val="00097D21"/>
    <w:rsid w:val="000B2707"/>
    <w:rsid w:val="000B60CD"/>
    <w:rsid w:val="000C1D62"/>
    <w:rsid w:val="000C3F38"/>
    <w:rsid w:val="000E11F1"/>
    <w:rsid w:val="000F0392"/>
    <w:rsid w:val="00112915"/>
    <w:rsid w:val="0012340D"/>
    <w:rsid w:val="00130E21"/>
    <w:rsid w:val="00143B24"/>
    <w:rsid w:val="001458FD"/>
    <w:rsid w:val="001465A3"/>
    <w:rsid w:val="00177BFD"/>
    <w:rsid w:val="00184984"/>
    <w:rsid w:val="00192DD1"/>
    <w:rsid w:val="001B152A"/>
    <w:rsid w:val="001B440A"/>
    <w:rsid w:val="001D353E"/>
    <w:rsid w:val="001E06EE"/>
    <w:rsid w:val="001F0850"/>
    <w:rsid w:val="001F499D"/>
    <w:rsid w:val="00216CDB"/>
    <w:rsid w:val="00220E6E"/>
    <w:rsid w:val="002341C7"/>
    <w:rsid w:val="00242BE0"/>
    <w:rsid w:val="00243BEF"/>
    <w:rsid w:val="00252D13"/>
    <w:rsid w:val="00257186"/>
    <w:rsid w:val="002612FF"/>
    <w:rsid w:val="002737AE"/>
    <w:rsid w:val="002761AA"/>
    <w:rsid w:val="00281BE7"/>
    <w:rsid w:val="00286687"/>
    <w:rsid w:val="00286819"/>
    <w:rsid w:val="002B6A7C"/>
    <w:rsid w:val="002C097C"/>
    <w:rsid w:val="002C1D6A"/>
    <w:rsid w:val="002D1C48"/>
    <w:rsid w:val="002E0530"/>
    <w:rsid w:val="00303756"/>
    <w:rsid w:val="003077F0"/>
    <w:rsid w:val="0031356C"/>
    <w:rsid w:val="003408A3"/>
    <w:rsid w:val="00346CB0"/>
    <w:rsid w:val="003562D8"/>
    <w:rsid w:val="00357EB2"/>
    <w:rsid w:val="00375439"/>
    <w:rsid w:val="0038795D"/>
    <w:rsid w:val="003C1B34"/>
    <w:rsid w:val="003C5575"/>
    <w:rsid w:val="003E4B31"/>
    <w:rsid w:val="003E578E"/>
    <w:rsid w:val="00417A9B"/>
    <w:rsid w:val="00432444"/>
    <w:rsid w:val="00486BD1"/>
    <w:rsid w:val="00487DB3"/>
    <w:rsid w:val="00487E6B"/>
    <w:rsid w:val="004C6971"/>
    <w:rsid w:val="004D5528"/>
    <w:rsid w:val="004D669A"/>
    <w:rsid w:val="004D6CDD"/>
    <w:rsid w:val="004E6364"/>
    <w:rsid w:val="004F4478"/>
    <w:rsid w:val="00511011"/>
    <w:rsid w:val="00532FE4"/>
    <w:rsid w:val="0055197A"/>
    <w:rsid w:val="00551C05"/>
    <w:rsid w:val="00560B36"/>
    <w:rsid w:val="005719A4"/>
    <w:rsid w:val="005762B7"/>
    <w:rsid w:val="00594AE4"/>
    <w:rsid w:val="005A41DA"/>
    <w:rsid w:val="005B5A6E"/>
    <w:rsid w:val="005C057F"/>
    <w:rsid w:val="005E7890"/>
    <w:rsid w:val="005E79B9"/>
    <w:rsid w:val="005F3EAE"/>
    <w:rsid w:val="005F4AA7"/>
    <w:rsid w:val="005F7B39"/>
    <w:rsid w:val="005F7DC2"/>
    <w:rsid w:val="00614CDD"/>
    <w:rsid w:val="00615757"/>
    <w:rsid w:val="00623E3E"/>
    <w:rsid w:val="006265B3"/>
    <w:rsid w:val="00634424"/>
    <w:rsid w:val="006344E6"/>
    <w:rsid w:val="00634BB7"/>
    <w:rsid w:val="00636B37"/>
    <w:rsid w:val="00643AB7"/>
    <w:rsid w:val="00644CFD"/>
    <w:rsid w:val="0064590A"/>
    <w:rsid w:val="00671C14"/>
    <w:rsid w:val="00672E84"/>
    <w:rsid w:val="00675EC4"/>
    <w:rsid w:val="00682828"/>
    <w:rsid w:val="006839E1"/>
    <w:rsid w:val="006856FE"/>
    <w:rsid w:val="00685F1A"/>
    <w:rsid w:val="0069098E"/>
    <w:rsid w:val="006A4442"/>
    <w:rsid w:val="006B26B1"/>
    <w:rsid w:val="006C69EF"/>
    <w:rsid w:val="006D1BB3"/>
    <w:rsid w:val="006E3D31"/>
    <w:rsid w:val="006E6C0F"/>
    <w:rsid w:val="006F5AB8"/>
    <w:rsid w:val="007133F1"/>
    <w:rsid w:val="007153D4"/>
    <w:rsid w:val="007167EC"/>
    <w:rsid w:val="00722AEC"/>
    <w:rsid w:val="00730601"/>
    <w:rsid w:val="007418CD"/>
    <w:rsid w:val="00744A05"/>
    <w:rsid w:val="0075044C"/>
    <w:rsid w:val="007678C3"/>
    <w:rsid w:val="00793B17"/>
    <w:rsid w:val="007A3B55"/>
    <w:rsid w:val="007F3476"/>
    <w:rsid w:val="007F762C"/>
    <w:rsid w:val="00817FA8"/>
    <w:rsid w:val="00835117"/>
    <w:rsid w:val="00851171"/>
    <w:rsid w:val="00854DE4"/>
    <w:rsid w:val="0087543C"/>
    <w:rsid w:val="00875729"/>
    <w:rsid w:val="00887B91"/>
    <w:rsid w:val="00890ECA"/>
    <w:rsid w:val="00894447"/>
    <w:rsid w:val="00895AA8"/>
    <w:rsid w:val="00897B41"/>
    <w:rsid w:val="008C3E59"/>
    <w:rsid w:val="008D40C3"/>
    <w:rsid w:val="008D6546"/>
    <w:rsid w:val="008D7DD7"/>
    <w:rsid w:val="008F1716"/>
    <w:rsid w:val="008F6C50"/>
    <w:rsid w:val="00905033"/>
    <w:rsid w:val="00924E85"/>
    <w:rsid w:val="009321EF"/>
    <w:rsid w:val="00951184"/>
    <w:rsid w:val="0096179F"/>
    <w:rsid w:val="009674CB"/>
    <w:rsid w:val="0098172F"/>
    <w:rsid w:val="0098437E"/>
    <w:rsid w:val="0098739F"/>
    <w:rsid w:val="00987B33"/>
    <w:rsid w:val="009A1193"/>
    <w:rsid w:val="009B44EA"/>
    <w:rsid w:val="009D5EA3"/>
    <w:rsid w:val="009F1B63"/>
    <w:rsid w:val="009F6B01"/>
    <w:rsid w:val="00A1317B"/>
    <w:rsid w:val="00A17609"/>
    <w:rsid w:val="00A21B2D"/>
    <w:rsid w:val="00A238D1"/>
    <w:rsid w:val="00A24218"/>
    <w:rsid w:val="00A34E7D"/>
    <w:rsid w:val="00A36964"/>
    <w:rsid w:val="00A40AF0"/>
    <w:rsid w:val="00A51C14"/>
    <w:rsid w:val="00A52321"/>
    <w:rsid w:val="00A542FC"/>
    <w:rsid w:val="00A543DB"/>
    <w:rsid w:val="00A75226"/>
    <w:rsid w:val="00AA1717"/>
    <w:rsid w:val="00AB34F1"/>
    <w:rsid w:val="00AB48B4"/>
    <w:rsid w:val="00AD2E51"/>
    <w:rsid w:val="00AE1252"/>
    <w:rsid w:val="00AE2F50"/>
    <w:rsid w:val="00AE7DAF"/>
    <w:rsid w:val="00AF39A9"/>
    <w:rsid w:val="00B036B0"/>
    <w:rsid w:val="00B24BA7"/>
    <w:rsid w:val="00B45306"/>
    <w:rsid w:val="00B77E7B"/>
    <w:rsid w:val="00B904C3"/>
    <w:rsid w:val="00B90701"/>
    <w:rsid w:val="00B966A6"/>
    <w:rsid w:val="00BA3860"/>
    <w:rsid w:val="00BB28F7"/>
    <w:rsid w:val="00BB66EA"/>
    <w:rsid w:val="00BD677F"/>
    <w:rsid w:val="00C02D1A"/>
    <w:rsid w:val="00C040E3"/>
    <w:rsid w:val="00C47D98"/>
    <w:rsid w:val="00C55797"/>
    <w:rsid w:val="00C94198"/>
    <w:rsid w:val="00C94EEB"/>
    <w:rsid w:val="00CB0854"/>
    <w:rsid w:val="00CC1E53"/>
    <w:rsid w:val="00CE36D6"/>
    <w:rsid w:val="00D00D62"/>
    <w:rsid w:val="00D01016"/>
    <w:rsid w:val="00D06864"/>
    <w:rsid w:val="00D30604"/>
    <w:rsid w:val="00D40685"/>
    <w:rsid w:val="00D41189"/>
    <w:rsid w:val="00D54BF0"/>
    <w:rsid w:val="00D55B08"/>
    <w:rsid w:val="00D60295"/>
    <w:rsid w:val="00D6349E"/>
    <w:rsid w:val="00D74946"/>
    <w:rsid w:val="00D82267"/>
    <w:rsid w:val="00D904DE"/>
    <w:rsid w:val="00D94AF1"/>
    <w:rsid w:val="00D95379"/>
    <w:rsid w:val="00D954C3"/>
    <w:rsid w:val="00D97F00"/>
    <w:rsid w:val="00DB089F"/>
    <w:rsid w:val="00DB1308"/>
    <w:rsid w:val="00DC3B99"/>
    <w:rsid w:val="00DE13ED"/>
    <w:rsid w:val="00DE57E0"/>
    <w:rsid w:val="00DF1606"/>
    <w:rsid w:val="00DF4B46"/>
    <w:rsid w:val="00E132AD"/>
    <w:rsid w:val="00E20A87"/>
    <w:rsid w:val="00E2140A"/>
    <w:rsid w:val="00E572A7"/>
    <w:rsid w:val="00E9225B"/>
    <w:rsid w:val="00EB2075"/>
    <w:rsid w:val="00EB696A"/>
    <w:rsid w:val="00EC07BB"/>
    <w:rsid w:val="00EC3622"/>
    <w:rsid w:val="00ED33BE"/>
    <w:rsid w:val="00EE07F6"/>
    <w:rsid w:val="00EE2193"/>
    <w:rsid w:val="00EE7D30"/>
    <w:rsid w:val="00EF5F4D"/>
    <w:rsid w:val="00F17A5A"/>
    <w:rsid w:val="00F17E4D"/>
    <w:rsid w:val="00F25628"/>
    <w:rsid w:val="00F348B2"/>
    <w:rsid w:val="00F501FA"/>
    <w:rsid w:val="00F57684"/>
    <w:rsid w:val="00F60DBF"/>
    <w:rsid w:val="00F83828"/>
    <w:rsid w:val="00F84B8F"/>
    <w:rsid w:val="00F854F4"/>
    <w:rsid w:val="00F92B94"/>
    <w:rsid w:val="00FB10B5"/>
    <w:rsid w:val="00FB1880"/>
    <w:rsid w:val="00FB2DCE"/>
    <w:rsid w:val="00FC01ED"/>
    <w:rsid w:val="00FD1A3D"/>
    <w:rsid w:val="00FD2C5B"/>
    <w:rsid w:val="00FF1CAB"/>
    <w:rsid w:val="00FF2173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BD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4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nowy"/>
    <w:basedOn w:val="Standardowy"/>
    <w:uiPriority w:val="39"/>
    <w:rsid w:val="007F3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F347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36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6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6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6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6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6D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38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38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3860"/>
    <w:rPr>
      <w:vertAlign w:val="superscript"/>
    </w:rPr>
  </w:style>
  <w:style w:type="paragraph" w:styleId="Poprawka">
    <w:name w:val="Revision"/>
    <w:hidden/>
    <w:uiPriority w:val="99"/>
    <w:semiHidden/>
    <w:rsid w:val="006D1BB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D7DD7"/>
    <w:rPr>
      <w:color w:val="0000FF" w:themeColor="hyperlink"/>
      <w:u w:val="single"/>
    </w:rPr>
  </w:style>
  <w:style w:type="paragraph" w:customStyle="1" w:styleId="Default">
    <w:name w:val="Default"/>
    <w:rsid w:val="008D7D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572A7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3E4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E4B31"/>
  </w:style>
  <w:style w:type="paragraph" w:styleId="Stopka">
    <w:name w:val="footer"/>
    <w:basedOn w:val="Normalny"/>
    <w:link w:val="StopkaZnak"/>
    <w:uiPriority w:val="99"/>
    <w:unhideWhenUsed/>
    <w:rsid w:val="003E4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B31"/>
  </w:style>
  <w:style w:type="character" w:customStyle="1" w:styleId="AkapitzlistZnak">
    <w:name w:val="Akapit z listą Znak"/>
    <w:link w:val="Akapitzlist"/>
    <w:uiPriority w:val="34"/>
    <w:locked/>
    <w:rsid w:val="00112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4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nowy"/>
    <w:basedOn w:val="Standardowy"/>
    <w:uiPriority w:val="39"/>
    <w:rsid w:val="007F3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F347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36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6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6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6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6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6D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38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38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3860"/>
    <w:rPr>
      <w:vertAlign w:val="superscript"/>
    </w:rPr>
  </w:style>
  <w:style w:type="paragraph" w:styleId="Poprawka">
    <w:name w:val="Revision"/>
    <w:hidden/>
    <w:uiPriority w:val="99"/>
    <w:semiHidden/>
    <w:rsid w:val="006D1BB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D7DD7"/>
    <w:rPr>
      <w:color w:val="0000FF" w:themeColor="hyperlink"/>
      <w:u w:val="single"/>
    </w:rPr>
  </w:style>
  <w:style w:type="paragraph" w:customStyle="1" w:styleId="Default">
    <w:name w:val="Default"/>
    <w:rsid w:val="008D7D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572A7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3E4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E4B31"/>
  </w:style>
  <w:style w:type="paragraph" w:styleId="Stopka">
    <w:name w:val="footer"/>
    <w:basedOn w:val="Normalny"/>
    <w:link w:val="StopkaZnak"/>
    <w:uiPriority w:val="99"/>
    <w:unhideWhenUsed/>
    <w:rsid w:val="003E4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B31"/>
  </w:style>
  <w:style w:type="character" w:customStyle="1" w:styleId="AkapitzlistZnak">
    <w:name w:val="Akapit z listą Znak"/>
    <w:link w:val="Akapitzlist"/>
    <w:uiPriority w:val="34"/>
    <w:locked/>
    <w:rsid w:val="00112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okik.gov.pl/stopa_referencyjna_i_archiwum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c.europa.eu/competition/state_aid/legislation/reference_rates.htm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F92A0-88AE-4655-B5E3-608CAFD2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1330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Baczewski, Jacek</dc:creator>
  <cp:lastModifiedBy>Agnieszka Skowerska</cp:lastModifiedBy>
  <cp:revision>42</cp:revision>
  <cp:lastPrinted>2020-05-26T13:41:00Z</cp:lastPrinted>
  <dcterms:created xsi:type="dcterms:W3CDTF">2017-03-16T10:33:00Z</dcterms:created>
  <dcterms:modified xsi:type="dcterms:W3CDTF">2022-07-07T13:52:00Z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Krzysztof.Lesniak@bgk.pl</vt:lpwstr>
  </property>
  <property fmtid="{D5CDD505-2E9C-101B-9397-08002B2CF9AE}" pid="5" name="MSIP_Label_ffd642cb-f5ac-4f9c-8f91-3377ed972e0d_SetDate">
    <vt:lpwstr>2019-04-29T14:16:59.9516635Z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c668bcff-e2d1-47e2-adc1-b3354af02961_Enabled">
    <vt:lpwstr>True</vt:lpwstr>
  </property>
  <property fmtid="{D5CDD505-2E9C-101B-9397-08002B2CF9AE}" pid="10" name="MSIP_Label_c668bcff-e2d1-47e2-adc1-b3354af02961_SiteId">
    <vt:lpwstr>29bb5b9c-200a-4906-89ef-c651c86ab301</vt:lpwstr>
  </property>
  <property fmtid="{D5CDD505-2E9C-101B-9397-08002B2CF9AE}" pid="11" name="MSIP_Label_c668bcff-e2d1-47e2-adc1-b3354af02961_Owner">
    <vt:lpwstr>Krzysztof.Lesniak@bgk.pl</vt:lpwstr>
  </property>
  <property fmtid="{D5CDD505-2E9C-101B-9397-08002B2CF9AE}" pid="12" name="MSIP_Label_c668bcff-e2d1-47e2-adc1-b3354af02961_SetDate">
    <vt:lpwstr>2019-04-29T14:16:59.9516635Z</vt:lpwstr>
  </property>
  <property fmtid="{D5CDD505-2E9C-101B-9397-08002B2CF9AE}" pid="13" name="MSIP_Label_c668bcff-e2d1-47e2-adc1-b3354af02961_Name">
    <vt:lpwstr>Ogólnodostępne</vt:lpwstr>
  </property>
  <property fmtid="{D5CDD505-2E9C-101B-9397-08002B2CF9AE}" pid="14" name="MSIP_Label_c668bcff-e2d1-47e2-adc1-b3354af02961_Application">
    <vt:lpwstr>Microsoft Azure Information Protection</vt:lpwstr>
  </property>
  <property fmtid="{D5CDD505-2E9C-101B-9397-08002B2CF9AE}" pid="15" name="MSIP_Label_c668bcff-e2d1-47e2-adc1-b3354af02961_Parent">
    <vt:lpwstr>ffd642cb-f5ac-4f9c-8f91-3377ed972e0d</vt:lpwstr>
  </property>
  <property fmtid="{D5CDD505-2E9C-101B-9397-08002B2CF9AE}" pid="16" name="MSIP_Label_c668bcff-e2d1-47e2-adc1-b3354af02961_Extended_MSFT_Method">
    <vt:lpwstr>Manual</vt:lpwstr>
  </property>
  <property fmtid="{D5CDD505-2E9C-101B-9397-08002B2CF9AE}" pid="17" name="Sensitivity">
    <vt:lpwstr>Wewnętrzne Ogólnodostępne</vt:lpwstr>
  </property>
</Properties>
</file>