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DD8F" w14:textId="77777777" w:rsidR="00B35803" w:rsidRPr="00684190" w:rsidRDefault="00B35803" w:rsidP="0099246B">
      <w:pPr>
        <w:pStyle w:val="Akapitzlist"/>
        <w:spacing w:before="120" w:after="0"/>
        <w:contextualSpacing w:val="0"/>
        <w:jc w:val="right"/>
        <w:rPr>
          <w:rFonts w:asciiTheme="minorHAnsi" w:hAnsiTheme="minorHAnsi" w:cstheme="minorHAnsi"/>
          <w:i/>
        </w:rPr>
      </w:pPr>
    </w:p>
    <w:p w14:paraId="18B04B2F" w14:textId="3BAD5774" w:rsidR="00B35803" w:rsidRPr="00684190" w:rsidRDefault="00B35803" w:rsidP="00B35803">
      <w:pPr>
        <w:pStyle w:val="Akapitzlist"/>
        <w:spacing w:after="0"/>
        <w:contextualSpacing w:val="0"/>
        <w:rPr>
          <w:rFonts w:asciiTheme="minorHAnsi" w:hAnsiTheme="minorHAnsi" w:cstheme="minorHAnsi"/>
          <w:i/>
          <w:sz w:val="20"/>
          <w:szCs w:val="20"/>
        </w:rPr>
      </w:pPr>
      <w:r w:rsidRPr="00684190">
        <w:rPr>
          <w:rFonts w:asciiTheme="minorHAnsi" w:hAnsiTheme="minorHAnsi" w:cstheme="minorHAnsi"/>
          <w:i/>
          <w:sz w:val="20"/>
          <w:szCs w:val="20"/>
        </w:rPr>
        <w:t xml:space="preserve">Załącznik nr </w:t>
      </w:r>
      <w:r w:rsidR="0024750C" w:rsidRPr="00684190">
        <w:rPr>
          <w:rFonts w:asciiTheme="minorHAnsi" w:hAnsiTheme="minorHAnsi" w:cstheme="minorHAnsi"/>
          <w:i/>
          <w:sz w:val="20"/>
          <w:szCs w:val="20"/>
        </w:rPr>
        <w:t>2</w:t>
      </w:r>
      <w:r w:rsidRPr="00684190">
        <w:rPr>
          <w:rFonts w:asciiTheme="minorHAnsi" w:hAnsiTheme="minorHAnsi" w:cstheme="minorHAnsi"/>
          <w:i/>
          <w:sz w:val="20"/>
          <w:szCs w:val="20"/>
        </w:rPr>
        <w:t xml:space="preserve"> do Uchwały nr </w:t>
      </w:r>
      <w:r w:rsidR="0024750C" w:rsidRPr="00684190">
        <w:rPr>
          <w:rFonts w:asciiTheme="minorHAnsi" w:hAnsiTheme="minorHAnsi" w:cstheme="minorHAnsi"/>
          <w:i/>
          <w:sz w:val="20"/>
          <w:szCs w:val="20"/>
        </w:rPr>
        <w:t>24</w:t>
      </w:r>
      <w:r w:rsidRPr="00684190">
        <w:rPr>
          <w:rFonts w:asciiTheme="minorHAnsi" w:hAnsiTheme="minorHAnsi" w:cstheme="minorHAnsi"/>
          <w:i/>
          <w:sz w:val="20"/>
          <w:szCs w:val="20"/>
        </w:rPr>
        <w:t xml:space="preserve">/2026 </w:t>
      </w:r>
      <w:r w:rsidRPr="00684190">
        <w:rPr>
          <w:rFonts w:asciiTheme="minorHAnsi" w:hAnsiTheme="minorHAnsi" w:cstheme="minorHAnsi"/>
          <w:i/>
          <w:sz w:val="20"/>
          <w:szCs w:val="20"/>
        </w:rPr>
        <w:br/>
        <w:t xml:space="preserve">Rady Nadzorczej SFR Sp. z o.o.  </w:t>
      </w:r>
    </w:p>
    <w:p w14:paraId="3E41142E" w14:textId="5C0612AA" w:rsidR="00B35803" w:rsidRPr="00684190" w:rsidRDefault="00B35803" w:rsidP="00B35803">
      <w:pPr>
        <w:pStyle w:val="Akapitzlist"/>
        <w:spacing w:after="0"/>
        <w:contextualSpacing w:val="0"/>
        <w:rPr>
          <w:rFonts w:asciiTheme="minorHAnsi" w:hAnsiTheme="minorHAnsi" w:cstheme="minorHAnsi"/>
          <w:i/>
          <w:sz w:val="20"/>
          <w:szCs w:val="20"/>
        </w:rPr>
      </w:pPr>
      <w:r w:rsidRPr="00684190">
        <w:rPr>
          <w:rFonts w:asciiTheme="minorHAnsi" w:hAnsiTheme="minorHAnsi" w:cstheme="minorHAnsi"/>
          <w:i/>
          <w:sz w:val="20"/>
          <w:szCs w:val="20"/>
        </w:rPr>
        <w:t xml:space="preserve">z dnia </w:t>
      </w:r>
      <w:r w:rsidR="0024750C" w:rsidRPr="00684190">
        <w:rPr>
          <w:rFonts w:asciiTheme="minorHAnsi" w:hAnsiTheme="minorHAnsi" w:cstheme="minorHAnsi"/>
          <w:i/>
          <w:sz w:val="20"/>
          <w:szCs w:val="20"/>
        </w:rPr>
        <w:t>17 czerwca</w:t>
      </w:r>
      <w:r w:rsidRPr="00684190">
        <w:rPr>
          <w:rFonts w:asciiTheme="minorHAnsi" w:hAnsiTheme="minorHAnsi" w:cstheme="minorHAnsi"/>
          <w:i/>
          <w:sz w:val="20"/>
          <w:szCs w:val="20"/>
        </w:rPr>
        <w:t xml:space="preserve"> 2026 r.</w:t>
      </w:r>
    </w:p>
    <w:p w14:paraId="61AFF4D6" w14:textId="77777777" w:rsidR="00B35803" w:rsidRPr="00684190" w:rsidRDefault="00B35803" w:rsidP="00B35803">
      <w:pPr>
        <w:pStyle w:val="Akapitzlist"/>
        <w:spacing w:before="120"/>
        <w:jc w:val="right"/>
        <w:rPr>
          <w:rFonts w:asciiTheme="minorHAnsi" w:hAnsiTheme="minorHAnsi" w:cstheme="minorHAnsi"/>
          <w:i/>
          <w:sz w:val="20"/>
          <w:szCs w:val="20"/>
        </w:rPr>
      </w:pPr>
      <w:r w:rsidRPr="00684190">
        <w:rPr>
          <w:rFonts w:asciiTheme="minorHAnsi" w:hAnsiTheme="minorHAnsi" w:cstheme="minorHAnsi"/>
          <w:i/>
          <w:sz w:val="20"/>
          <w:szCs w:val="20"/>
        </w:rPr>
        <w:t>Załącznik nr 1 do Regulaminu udzielania przez</w:t>
      </w:r>
    </w:p>
    <w:p w14:paraId="3650A490" w14:textId="77777777" w:rsidR="00B35803" w:rsidRPr="00684190" w:rsidRDefault="00B35803" w:rsidP="00B35803">
      <w:pPr>
        <w:pStyle w:val="Akapitzlist"/>
        <w:spacing w:before="120"/>
        <w:jc w:val="right"/>
        <w:rPr>
          <w:rFonts w:asciiTheme="minorHAnsi" w:hAnsiTheme="minorHAnsi" w:cstheme="minorHAnsi"/>
          <w:i/>
          <w:sz w:val="20"/>
          <w:szCs w:val="20"/>
        </w:rPr>
      </w:pPr>
      <w:r w:rsidRPr="00684190">
        <w:rPr>
          <w:rFonts w:asciiTheme="minorHAnsi" w:hAnsiTheme="minorHAnsi" w:cstheme="minorHAnsi"/>
          <w:i/>
          <w:sz w:val="20"/>
          <w:szCs w:val="20"/>
        </w:rPr>
        <w:t xml:space="preserve">Świętokrzyski Fundusz Rozwoju </w:t>
      </w:r>
    </w:p>
    <w:p w14:paraId="4EC5F497" w14:textId="77777777" w:rsidR="00B35803" w:rsidRPr="00684190" w:rsidRDefault="00B35803" w:rsidP="00B35803">
      <w:pPr>
        <w:pStyle w:val="Akapitzlist"/>
        <w:spacing w:before="120"/>
        <w:jc w:val="right"/>
        <w:rPr>
          <w:rFonts w:asciiTheme="minorHAnsi" w:hAnsiTheme="minorHAnsi" w:cstheme="minorHAnsi"/>
          <w:i/>
          <w:sz w:val="20"/>
          <w:szCs w:val="20"/>
        </w:rPr>
      </w:pPr>
      <w:r w:rsidRPr="00684190">
        <w:rPr>
          <w:rFonts w:asciiTheme="minorHAnsi" w:hAnsiTheme="minorHAnsi" w:cstheme="minorHAnsi"/>
          <w:i/>
          <w:sz w:val="20"/>
          <w:szCs w:val="20"/>
        </w:rPr>
        <w:t xml:space="preserve">Spółka z ograniczoną odpowiedzialnością </w:t>
      </w:r>
    </w:p>
    <w:p w14:paraId="1B451B40" w14:textId="77777777" w:rsidR="00B35803" w:rsidRPr="00684190" w:rsidRDefault="00B35803" w:rsidP="00B35803">
      <w:pPr>
        <w:pStyle w:val="Akapitzlist"/>
        <w:spacing w:before="120"/>
        <w:jc w:val="right"/>
        <w:rPr>
          <w:rFonts w:asciiTheme="minorHAnsi" w:hAnsiTheme="minorHAnsi" w:cstheme="minorHAnsi"/>
          <w:i/>
          <w:sz w:val="20"/>
          <w:szCs w:val="20"/>
        </w:rPr>
      </w:pPr>
      <w:r w:rsidRPr="00684190">
        <w:rPr>
          <w:rFonts w:asciiTheme="minorHAnsi" w:hAnsiTheme="minorHAnsi" w:cstheme="minorHAnsi"/>
          <w:i/>
          <w:sz w:val="20"/>
          <w:szCs w:val="20"/>
        </w:rPr>
        <w:t xml:space="preserve">Pożyczek z dotacją na spłatę części kapitału </w:t>
      </w:r>
    </w:p>
    <w:p w14:paraId="45332A49" w14:textId="77777777" w:rsidR="00B35803" w:rsidRPr="00684190" w:rsidRDefault="00B35803" w:rsidP="00B35803">
      <w:pPr>
        <w:pStyle w:val="Akapitzlist"/>
        <w:spacing w:before="120"/>
        <w:jc w:val="right"/>
        <w:rPr>
          <w:rFonts w:asciiTheme="minorHAnsi" w:hAnsiTheme="minorHAnsi" w:cstheme="minorHAnsi"/>
          <w:i/>
          <w:sz w:val="20"/>
          <w:szCs w:val="20"/>
        </w:rPr>
      </w:pPr>
      <w:r w:rsidRPr="00684190">
        <w:rPr>
          <w:rFonts w:asciiTheme="minorHAnsi" w:hAnsiTheme="minorHAnsi" w:cstheme="minorHAnsi"/>
          <w:i/>
          <w:sz w:val="20"/>
          <w:szCs w:val="20"/>
        </w:rPr>
        <w:t xml:space="preserve">na termomodernizację budynków wielorodzinnych </w:t>
      </w:r>
    </w:p>
    <w:p w14:paraId="289F08EC" w14:textId="77777777" w:rsidR="00B35803" w:rsidRPr="00684190" w:rsidRDefault="00B35803" w:rsidP="0099246B">
      <w:pPr>
        <w:pStyle w:val="Akapitzlist"/>
        <w:spacing w:before="120" w:after="0"/>
        <w:contextualSpacing w:val="0"/>
        <w:jc w:val="right"/>
        <w:rPr>
          <w:rFonts w:asciiTheme="minorHAnsi" w:hAnsiTheme="minorHAnsi" w:cstheme="minorHAnsi"/>
          <w:i/>
        </w:rPr>
      </w:pPr>
    </w:p>
    <w:p w14:paraId="1EAAC265" w14:textId="77777777" w:rsidR="00B35803" w:rsidRPr="00684190" w:rsidRDefault="00B35803" w:rsidP="0099246B">
      <w:pPr>
        <w:pStyle w:val="Akapitzlist"/>
        <w:spacing w:before="120" w:after="0"/>
        <w:contextualSpacing w:val="0"/>
        <w:jc w:val="right"/>
        <w:rPr>
          <w:rFonts w:asciiTheme="minorHAnsi" w:hAnsiTheme="minorHAnsi" w:cstheme="minorHAnsi"/>
          <w:i/>
        </w:rPr>
      </w:pPr>
    </w:p>
    <w:p w14:paraId="6F657CFA" w14:textId="47AEF99C" w:rsidR="00EC3128" w:rsidRPr="00684190" w:rsidRDefault="00EC3128" w:rsidP="0099246B">
      <w:pPr>
        <w:pStyle w:val="Akapitzlist"/>
        <w:spacing w:before="120" w:after="0"/>
        <w:contextualSpacing w:val="0"/>
        <w:jc w:val="right"/>
        <w:rPr>
          <w:rFonts w:asciiTheme="minorHAnsi" w:hAnsiTheme="minorHAnsi" w:cstheme="minorHAnsi"/>
          <w:i/>
        </w:rPr>
      </w:pPr>
      <w:r w:rsidRPr="00684190">
        <w:rPr>
          <w:rFonts w:asciiTheme="minorHAnsi" w:hAnsiTheme="minorHAnsi" w:cstheme="minorHAnsi"/>
          <w:i/>
        </w:rPr>
        <w:t>Załącznik nr 3 do Aneksu nr 4</w:t>
      </w:r>
    </w:p>
    <w:p w14:paraId="6ECB2A21" w14:textId="549EE935" w:rsidR="00132EEF" w:rsidRPr="00684190" w:rsidRDefault="00F47F84" w:rsidP="0099246B">
      <w:pPr>
        <w:pStyle w:val="Akapitzlist"/>
        <w:spacing w:before="120" w:after="0"/>
        <w:contextualSpacing w:val="0"/>
        <w:jc w:val="right"/>
        <w:rPr>
          <w:rFonts w:asciiTheme="minorHAnsi" w:hAnsiTheme="minorHAnsi" w:cstheme="minorHAnsi"/>
          <w:i/>
        </w:rPr>
      </w:pPr>
      <w:r w:rsidRPr="00684190">
        <w:rPr>
          <w:rFonts w:asciiTheme="minorHAnsi" w:hAnsiTheme="minorHAnsi" w:cstheme="minorHAnsi"/>
          <w:i/>
        </w:rPr>
        <w:t xml:space="preserve">Załącznik nr </w:t>
      </w:r>
      <w:r w:rsidR="00C97860" w:rsidRPr="00684190">
        <w:rPr>
          <w:rFonts w:asciiTheme="minorHAnsi" w:hAnsiTheme="minorHAnsi" w:cstheme="minorHAnsi"/>
          <w:i/>
        </w:rPr>
        <w:t>9</w:t>
      </w:r>
      <w:r w:rsidR="0099246B" w:rsidRPr="00684190">
        <w:rPr>
          <w:rFonts w:asciiTheme="minorHAnsi" w:hAnsiTheme="minorHAnsi" w:cstheme="minorHAnsi"/>
          <w:i/>
        </w:rPr>
        <w:t xml:space="preserve"> </w:t>
      </w:r>
    </w:p>
    <w:p w14:paraId="290AF261" w14:textId="04F3F65A" w:rsidR="00132EEF" w:rsidRPr="00684190" w:rsidRDefault="00F47F84" w:rsidP="0099246B">
      <w:pPr>
        <w:pStyle w:val="Akapitzlist"/>
        <w:spacing w:before="120" w:after="0"/>
        <w:contextualSpacing w:val="0"/>
        <w:jc w:val="right"/>
        <w:rPr>
          <w:rFonts w:asciiTheme="minorHAnsi" w:hAnsiTheme="minorHAnsi" w:cstheme="minorHAnsi"/>
          <w:i/>
        </w:rPr>
      </w:pPr>
      <w:r w:rsidRPr="00684190">
        <w:rPr>
          <w:rFonts w:asciiTheme="minorHAnsi" w:hAnsiTheme="minorHAnsi" w:cstheme="minorHAnsi"/>
          <w:i/>
        </w:rPr>
        <w:t xml:space="preserve">do Umowy Operacyjnej </w:t>
      </w:r>
      <w:r w:rsidR="009E6D05" w:rsidRPr="00684190">
        <w:rPr>
          <w:rFonts w:asciiTheme="minorHAnsi" w:hAnsiTheme="minorHAnsi" w:cstheme="minorHAnsi"/>
          <w:i/>
        </w:rPr>
        <w:t xml:space="preserve">nr </w:t>
      </w:r>
      <w:r w:rsidR="00A72A96" w:rsidRPr="00684190">
        <w:rPr>
          <w:rFonts w:asciiTheme="minorHAnsi" w:hAnsiTheme="minorHAnsi" w:cstheme="minorHAnsi"/>
          <w:i/>
        </w:rPr>
        <w:t>2/FESW/1825/2025/I</w:t>
      </w:r>
      <w:r w:rsidR="007B6D47" w:rsidRPr="00684190">
        <w:rPr>
          <w:rFonts w:asciiTheme="minorHAnsi" w:hAnsiTheme="minorHAnsi" w:cstheme="minorHAnsi"/>
          <w:i/>
        </w:rPr>
        <w:t>I</w:t>
      </w:r>
      <w:r w:rsidR="00A72A96" w:rsidRPr="00684190">
        <w:rPr>
          <w:rFonts w:asciiTheme="minorHAnsi" w:hAnsiTheme="minorHAnsi" w:cstheme="minorHAnsi"/>
          <w:i/>
        </w:rPr>
        <w:t>/EFRR/2</w:t>
      </w:r>
      <w:r w:rsidR="007B6D47" w:rsidRPr="00684190">
        <w:rPr>
          <w:rFonts w:asciiTheme="minorHAnsi" w:hAnsiTheme="minorHAnsi" w:cstheme="minorHAnsi"/>
          <w:i/>
        </w:rPr>
        <w:t>41</w:t>
      </w:r>
      <w:r w:rsidR="00A72A96" w:rsidRPr="00684190">
        <w:rPr>
          <w:rFonts w:asciiTheme="minorHAnsi" w:hAnsiTheme="minorHAnsi" w:cstheme="minorHAnsi"/>
          <w:i/>
        </w:rPr>
        <w:t xml:space="preserve"> </w:t>
      </w:r>
      <w:r w:rsidRPr="00684190">
        <w:rPr>
          <w:rFonts w:asciiTheme="minorHAnsi" w:hAnsiTheme="minorHAnsi" w:cstheme="minorHAnsi"/>
          <w:i/>
        </w:rPr>
        <w:t xml:space="preserve">– </w:t>
      </w:r>
    </w:p>
    <w:p w14:paraId="7C545CE9" w14:textId="1D48CECD" w:rsidR="00F47F84" w:rsidRPr="00684190" w:rsidRDefault="00115EEB" w:rsidP="0099246B">
      <w:pPr>
        <w:pStyle w:val="Akapitzlist"/>
        <w:spacing w:before="120" w:after="0"/>
        <w:contextualSpacing w:val="0"/>
        <w:jc w:val="right"/>
        <w:rPr>
          <w:rFonts w:asciiTheme="minorHAnsi" w:hAnsiTheme="minorHAnsi" w:cstheme="minorHAnsi"/>
          <w:i/>
        </w:rPr>
      </w:pPr>
      <w:r w:rsidRPr="00684190">
        <w:rPr>
          <w:rFonts w:asciiTheme="minorHAnsi" w:hAnsiTheme="minorHAnsi" w:cstheme="minorHAnsi"/>
          <w:i/>
        </w:rPr>
        <w:t>Pożyczka</w:t>
      </w:r>
      <w:r w:rsidR="00740BD9" w:rsidRPr="00684190">
        <w:rPr>
          <w:rFonts w:asciiTheme="minorHAnsi" w:hAnsiTheme="minorHAnsi" w:cstheme="minorHAnsi"/>
          <w:i/>
        </w:rPr>
        <w:t xml:space="preserve"> </w:t>
      </w:r>
      <w:bookmarkStart w:id="0" w:name="_Hlk161753808"/>
      <w:r w:rsidR="00853AFF" w:rsidRPr="00684190">
        <w:rPr>
          <w:rFonts w:asciiTheme="minorHAnsi" w:hAnsiTheme="minorHAnsi" w:cstheme="minorHAnsi"/>
          <w:i/>
        </w:rPr>
        <w:t xml:space="preserve">z </w:t>
      </w:r>
      <w:r w:rsidR="004C1415" w:rsidRPr="00684190">
        <w:rPr>
          <w:rFonts w:asciiTheme="minorHAnsi" w:hAnsiTheme="minorHAnsi" w:cstheme="minorHAnsi"/>
          <w:i/>
        </w:rPr>
        <w:t xml:space="preserve">dotacją </w:t>
      </w:r>
      <w:r w:rsidR="00853AFF" w:rsidRPr="00684190">
        <w:rPr>
          <w:rFonts w:asciiTheme="minorHAnsi" w:hAnsiTheme="minorHAnsi" w:cstheme="minorHAnsi"/>
          <w:i/>
        </w:rPr>
        <w:t>na termomodernizację budynków wielorodzinnych</w:t>
      </w:r>
      <w:bookmarkEnd w:id="0"/>
    </w:p>
    <w:p w14:paraId="0A37501D" w14:textId="77777777" w:rsidR="0004528D" w:rsidRPr="00684190" w:rsidRDefault="0004528D" w:rsidP="005B64DD">
      <w:pPr>
        <w:pStyle w:val="Akapitzlist"/>
        <w:spacing w:before="120" w:after="0"/>
        <w:contextualSpacing w:val="0"/>
        <w:jc w:val="both"/>
        <w:rPr>
          <w:rFonts w:asciiTheme="minorHAnsi" w:hAnsiTheme="minorHAnsi" w:cstheme="minorHAnsi"/>
          <w:b/>
        </w:rPr>
      </w:pPr>
    </w:p>
    <w:p w14:paraId="1F1C0C42" w14:textId="5DC8017B" w:rsidR="00B94009" w:rsidRPr="00684190" w:rsidRDefault="00297A3C" w:rsidP="00D72A8B">
      <w:pPr>
        <w:pStyle w:val="Tytu"/>
        <w:spacing w:before="120" w:line="276" w:lineRule="auto"/>
        <w:contextualSpacing w:val="0"/>
        <w:jc w:val="center"/>
        <w:rPr>
          <w:rFonts w:asciiTheme="minorHAnsi" w:hAnsiTheme="minorHAnsi" w:cstheme="minorHAnsi"/>
          <w:spacing w:val="0"/>
          <w:kern w:val="0"/>
          <w:sz w:val="32"/>
          <w:szCs w:val="32"/>
        </w:rPr>
      </w:pPr>
      <w:bookmarkStart w:id="1" w:name="_Hlk147004065"/>
      <w:r w:rsidRPr="00684190">
        <w:rPr>
          <w:rFonts w:asciiTheme="minorHAnsi" w:hAnsiTheme="minorHAnsi" w:cstheme="minorHAnsi"/>
          <w:spacing w:val="0"/>
          <w:kern w:val="0"/>
          <w:sz w:val="32"/>
          <w:szCs w:val="32"/>
        </w:rPr>
        <w:t>Karta Produktu</w:t>
      </w:r>
      <w:bookmarkEnd w:id="1"/>
      <w:r w:rsidR="00D72A8B" w:rsidRPr="00684190">
        <w:rPr>
          <w:rFonts w:asciiTheme="minorHAnsi" w:hAnsiTheme="minorHAnsi" w:cstheme="minorHAnsi"/>
          <w:spacing w:val="0"/>
          <w:kern w:val="0"/>
          <w:sz w:val="32"/>
          <w:szCs w:val="32"/>
        </w:rPr>
        <w:br/>
      </w:r>
      <w:r w:rsidR="00B94009" w:rsidRPr="00684190">
        <w:rPr>
          <w:rFonts w:asciiTheme="minorHAnsi" w:hAnsiTheme="minorHAnsi" w:cstheme="minorHAnsi"/>
          <w:sz w:val="32"/>
          <w:szCs w:val="32"/>
        </w:rPr>
        <w:t xml:space="preserve">Pożyczka z </w:t>
      </w:r>
      <w:r w:rsidR="004C1415" w:rsidRPr="00684190">
        <w:rPr>
          <w:rFonts w:asciiTheme="minorHAnsi" w:hAnsiTheme="minorHAnsi" w:cstheme="minorHAnsi"/>
          <w:sz w:val="32"/>
          <w:szCs w:val="32"/>
        </w:rPr>
        <w:t xml:space="preserve">dotacją  </w:t>
      </w:r>
      <w:r w:rsidR="00D36DCE" w:rsidRPr="00684190">
        <w:rPr>
          <w:rFonts w:asciiTheme="minorHAnsi" w:hAnsiTheme="minorHAnsi" w:cstheme="minorHAnsi"/>
          <w:sz w:val="32"/>
          <w:szCs w:val="32"/>
        </w:rPr>
        <w:br/>
      </w:r>
      <w:r w:rsidR="00B94009" w:rsidRPr="00684190">
        <w:rPr>
          <w:rFonts w:asciiTheme="minorHAnsi" w:hAnsiTheme="minorHAnsi" w:cstheme="minorHAnsi"/>
          <w:sz w:val="32"/>
          <w:szCs w:val="32"/>
        </w:rPr>
        <w:t>na termomodernizację budynków wielorodzinnych</w:t>
      </w:r>
    </w:p>
    <w:p w14:paraId="15C45E76" w14:textId="77777777" w:rsidR="00D36DCE" w:rsidRPr="00684190" w:rsidRDefault="00D36DCE" w:rsidP="005B64DD">
      <w:pPr>
        <w:spacing w:before="120" w:after="0"/>
        <w:jc w:val="center"/>
        <w:rPr>
          <w:rFonts w:asciiTheme="minorHAnsi" w:hAnsiTheme="minorHAnsi" w:cstheme="minorHAnsi"/>
          <w:sz w:val="32"/>
          <w:szCs w:val="32"/>
        </w:rPr>
      </w:pPr>
    </w:p>
    <w:p w14:paraId="4DF63760" w14:textId="6D8E23C1" w:rsidR="00306DAB" w:rsidRPr="00684190" w:rsidRDefault="00306DAB" w:rsidP="005B64DD">
      <w:pPr>
        <w:pStyle w:val="Nagwek1"/>
        <w:spacing w:before="120"/>
        <w:rPr>
          <w:rFonts w:asciiTheme="minorHAnsi" w:hAnsiTheme="minorHAnsi" w:cstheme="minorHAnsi"/>
          <w:color w:val="auto"/>
        </w:rPr>
      </w:pPr>
      <w:r w:rsidRPr="00684190">
        <w:rPr>
          <w:rFonts w:asciiTheme="minorHAnsi" w:hAnsiTheme="minorHAnsi" w:cstheme="minorHAnsi"/>
          <w:color w:val="auto"/>
        </w:rPr>
        <w:t xml:space="preserve">Część I Podstawowe parametry Jednostkowej Pożyczki </w:t>
      </w:r>
    </w:p>
    <w:p w14:paraId="39B4FBAF" w14:textId="5CEDA166" w:rsidR="008E4B57" w:rsidRPr="00684190" w:rsidRDefault="008E4B57" w:rsidP="005B64DD">
      <w:pPr>
        <w:pStyle w:val="Akapitzlist"/>
        <w:numPr>
          <w:ilvl w:val="0"/>
          <w:numId w:val="9"/>
        </w:numPr>
        <w:spacing w:before="120" w:after="0"/>
        <w:ind w:left="284"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 xml:space="preserve">Wartość Jednostkowej Pożyczki wynosi do </w:t>
      </w:r>
      <w:r w:rsidR="00DE4A8C" w:rsidRPr="00684190">
        <w:rPr>
          <w:rFonts w:asciiTheme="minorHAnsi" w:hAnsiTheme="minorHAnsi" w:cstheme="minorHAnsi"/>
        </w:rPr>
        <w:t>5</w:t>
      </w:r>
      <w:r w:rsidR="0076269B" w:rsidRPr="00684190">
        <w:rPr>
          <w:rFonts w:asciiTheme="minorHAnsi" w:hAnsiTheme="minorHAnsi" w:cstheme="minorHAnsi"/>
        </w:rPr>
        <w:t xml:space="preserve"> 000 000,00 </w:t>
      </w:r>
      <w:r w:rsidR="00B23FAF" w:rsidRPr="00684190">
        <w:rPr>
          <w:rFonts w:asciiTheme="minorHAnsi" w:hAnsiTheme="minorHAnsi" w:cstheme="minorHAnsi"/>
        </w:rPr>
        <w:t>zł</w:t>
      </w:r>
      <w:r w:rsidRPr="00684190">
        <w:rPr>
          <w:rFonts w:asciiTheme="minorHAnsi" w:hAnsiTheme="minorHAnsi" w:cstheme="minorHAnsi"/>
          <w:lang w:eastAsia="pl-PL"/>
        </w:rPr>
        <w:t xml:space="preserve">, z zastrzeżeniem </w:t>
      </w:r>
      <w:r w:rsidR="009D3B6D" w:rsidRPr="00684190">
        <w:rPr>
          <w:rFonts w:asciiTheme="minorHAnsi" w:hAnsiTheme="minorHAnsi" w:cstheme="minorHAnsi"/>
          <w:lang w:eastAsia="pl-PL"/>
        </w:rPr>
        <w:t>pkt</w:t>
      </w:r>
      <w:r w:rsidRPr="00684190">
        <w:rPr>
          <w:rFonts w:asciiTheme="minorHAnsi" w:hAnsiTheme="minorHAnsi" w:cstheme="minorHAnsi"/>
          <w:lang w:eastAsia="pl-PL"/>
        </w:rPr>
        <w:t xml:space="preserve"> </w:t>
      </w:r>
      <w:r w:rsidR="00E65C72" w:rsidRPr="00684190">
        <w:rPr>
          <w:rFonts w:asciiTheme="minorHAnsi" w:hAnsiTheme="minorHAnsi" w:cstheme="minorHAnsi"/>
          <w:lang w:eastAsia="pl-PL"/>
        </w:rPr>
        <w:t>2</w:t>
      </w:r>
      <w:r w:rsidRPr="00684190">
        <w:rPr>
          <w:rFonts w:asciiTheme="minorHAnsi" w:hAnsiTheme="minorHAnsi" w:cstheme="minorHAnsi"/>
          <w:lang w:eastAsia="pl-PL"/>
        </w:rPr>
        <w:t>.</w:t>
      </w:r>
    </w:p>
    <w:p w14:paraId="6F284E06" w14:textId="6824F4A0" w:rsidR="008E4B57" w:rsidRPr="00684190" w:rsidRDefault="008E4B57" w:rsidP="005B64DD">
      <w:pPr>
        <w:pStyle w:val="Akapitzlist"/>
        <w:numPr>
          <w:ilvl w:val="0"/>
          <w:numId w:val="9"/>
        </w:numPr>
        <w:spacing w:before="120" w:after="0"/>
        <w:ind w:left="284"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Łączna wartość Jednostkowych Pożyczek udzielonych jednemu Ostatecznemu Odbiorcy nie może przekraczać</w:t>
      </w:r>
      <w:r w:rsidR="00D36DCE" w:rsidRPr="00684190">
        <w:rPr>
          <w:rFonts w:asciiTheme="minorHAnsi" w:hAnsiTheme="minorHAnsi" w:cstheme="minorHAnsi"/>
          <w:lang w:eastAsia="pl-PL"/>
        </w:rPr>
        <w:t xml:space="preserve"> </w:t>
      </w:r>
      <w:r w:rsidR="00DE4A8C" w:rsidRPr="00684190">
        <w:rPr>
          <w:rFonts w:asciiTheme="minorHAnsi" w:hAnsiTheme="minorHAnsi" w:cstheme="minorHAnsi"/>
          <w:lang w:eastAsia="pl-PL"/>
        </w:rPr>
        <w:t>6</w:t>
      </w:r>
      <w:r w:rsidR="001B3AE8" w:rsidRPr="00684190">
        <w:rPr>
          <w:rFonts w:asciiTheme="minorHAnsi" w:hAnsiTheme="minorHAnsi" w:cstheme="minorHAnsi"/>
          <w:lang w:eastAsia="pl-PL"/>
        </w:rPr>
        <w:t xml:space="preserve"> 000 000,00 </w:t>
      </w:r>
      <w:r w:rsidR="00B23FAF" w:rsidRPr="00684190">
        <w:rPr>
          <w:rFonts w:asciiTheme="minorHAnsi" w:hAnsiTheme="minorHAnsi" w:cstheme="minorHAnsi"/>
        </w:rPr>
        <w:t>zł</w:t>
      </w:r>
      <w:r w:rsidRPr="00684190">
        <w:rPr>
          <w:rFonts w:asciiTheme="minorHAnsi" w:hAnsiTheme="minorHAnsi" w:cstheme="minorHAnsi"/>
          <w:lang w:eastAsia="pl-PL"/>
        </w:rPr>
        <w:t xml:space="preserve">. </w:t>
      </w:r>
    </w:p>
    <w:p w14:paraId="76D6DD31" w14:textId="4EA535D8" w:rsidR="008E4B57" w:rsidRPr="00684190" w:rsidRDefault="00297A3C" w:rsidP="005B64DD">
      <w:pPr>
        <w:pStyle w:val="Akapitzlist"/>
        <w:numPr>
          <w:ilvl w:val="0"/>
          <w:numId w:val="9"/>
        </w:numPr>
        <w:spacing w:before="120" w:after="0"/>
        <w:ind w:left="284"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Maksymalny o</w:t>
      </w:r>
      <w:r w:rsidR="008E4B57" w:rsidRPr="00684190">
        <w:rPr>
          <w:rFonts w:asciiTheme="minorHAnsi" w:hAnsiTheme="minorHAnsi" w:cstheme="minorHAnsi"/>
          <w:lang w:eastAsia="pl-PL"/>
        </w:rPr>
        <w:t xml:space="preserve">kres spłaty Jednostkowej Pożyczki określony w Umowie Inwestycyjnej nie może być dłuższy niż </w:t>
      </w:r>
      <w:r w:rsidR="00DE4A8C" w:rsidRPr="00684190">
        <w:rPr>
          <w:rFonts w:asciiTheme="minorHAnsi" w:hAnsiTheme="minorHAnsi" w:cstheme="minorHAnsi"/>
        </w:rPr>
        <w:t>144</w:t>
      </w:r>
      <w:r w:rsidR="001D6C62" w:rsidRPr="00684190">
        <w:rPr>
          <w:rFonts w:asciiTheme="minorHAnsi" w:hAnsiTheme="minorHAnsi" w:cstheme="minorHAnsi"/>
        </w:rPr>
        <w:t xml:space="preserve"> </w:t>
      </w:r>
      <w:r w:rsidR="001D6C62" w:rsidRPr="00684190">
        <w:rPr>
          <w:rFonts w:asciiTheme="minorHAnsi" w:hAnsiTheme="minorHAnsi" w:cstheme="minorHAnsi"/>
          <w:lang w:eastAsia="pl-PL"/>
        </w:rPr>
        <w:t>miesiące</w:t>
      </w:r>
      <w:r w:rsidR="008E4B57" w:rsidRPr="00684190">
        <w:rPr>
          <w:rFonts w:asciiTheme="minorHAnsi" w:hAnsiTheme="minorHAnsi" w:cstheme="minorHAnsi"/>
          <w:lang w:eastAsia="pl-PL"/>
        </w:rPr>
        <w:t xml:space="preserve"> od momentu jej uruchomienia, tj. wypłaty jakiejkolwiek kwoty Jednostkowej Pożyczki. Partner Finansujący ustala okres spłaty na podstawie oceny </w:t>
      </w:r>
      <w:r w:rsidR="00D24897" w:rsidRPr="00684190">
        <w:rPr>
          <w:rFonts w:asciiTheme="minorHAnsi" w:hAnsiTheme="minorHAnsi" w:cstheme="minorHAnsi"/>
          <w:lang w:eastAsia="pl-PL"/>
        </w:rPr>
        <w:t>w</w:t>
      </w:r>
      <w:r w:rsidR="00937245" w:rsidRPr="00684190">
        <w:rPr>
          <w:rFonts w:asciiTheme="minorHAnsi" w:hAnsiTheme="minorHAnsi" w:cstheme="minorHAnsi"/>
          <w:lang w:eastAsia="pl-PL"/>
        </w:rPr>
        <w:t>niosku</w:t>
      </w:r>
      <w:r w:rsidR="00D24897" w:rsidRPr="00684190">
        <w:rPr>
          <w:rFonts w:asciiTheme="minorHAnsi" w:hAnsiTheme="minorHAnsi" w:cstheme="minorHAnsi"/>
          <w:lang w:eastAsia="pl-PL"/>
        </w:rPr>
        <w:t xml:space="preserve"> o pożyczkę (Wniosek)</w:t>
      </w:r>
      <w:r w:rsidR="008E4B57" w:rsidRPr="00684190">
        <w:rPr>
          <w:rFonts w:asciiTheme="minorHAnsi" w:hAnsiTheme="minorHAnsi" w:cstheme="minorHAnsi"/>
          <w:lang w:eastAsia="pl-PL"/>
        </w:rPr>
        <w:t xml:space="preserve">, w tym zdolności kredytowej Ostatecznego Odbiorcy i oceny ryzyka. </w:t>
      </w:r>
    </w:p>
    <w:p w14:paraId="2BF085BB" w14:textId="2D795FFF" w:rsidR="008E4B57" w:rsidRPr="00684190" w:rsidRDefault="007B483F" w:rsidP="005B64DD">
      <w:pPr>
        <w:pStyle w:val="Akapitzlist"/>
        <w:numPr>
          <w:ilvl w:val="0"/>
          <w:numId w:val="9"/>
        </w:numPr>
        <w:spacing w:before="120" w:after="0"/>
        <w:ind w:left="284" w:hanging="284"/>
        <w:contextualSpacing w:val="0"/>
        <w:jc w:val="both"/>
        <w:rPr>
          <w:rFonts w:asciiTheme="minorHAnsi" w:hAnsiTheme="minorHAnsi" w:cstheme="minorHAnsi"/>
          <w:lang w:eastAsia="pl-PL"/>
        </w:rPr>
      </w:pPr>
      <w:r w:rsidRPr="00684190">
        <w:rPr>
          <w:rFonts w:asciiTheme="minorHAnsi" w:hAnsiTheme="minorHAnsi" w:cstheme="minorHAnsi"/>
        </w:rPr>
        <w:t xml:space="preserve">Partner Finansujący na wniosek Ostatecznego Odbiorcy może udzielić karencji w spłacie kapitału Jednostkowej Pożyczki co do zasady na czas realizacji Inwestycji Końcowej, nie dłużej jednak niż na </w:t>
      </w:r>
      <w:r w:rsidR="0017586B" w:rsidRPr="00684190">
        <w:rPr>
          <w:rFonts w:asciiTheme="minorHAnsi" w:hAnsiTheme="minorHAnsi" w:cstheme="minorHAnsi"/>
        </w:rPr>
        <w:t xml:space="preserve">12 </w:t>
      </w:r>
      <w:r w:rsidRPr="00684190">
        <w:rPr>
          <w:rFonts w:asciiTheme="minorHAnsi" w:hAnsiTheme="minorHAnsi" w:cstheme="minorHAnsi"/>
        </w:rPr>
        <w:t xml:space="preserve">miesięcy od dnia uruchomienia Jednostkowej Pożyczki, przy czym karencja nie wydłuża </w:t>
      </w:r>
      <w:r w:rsidR="00F56C1C" w:rsidRPr="00684190">
        <w:rPr>
          <w:rFonts w:asciiTheme="minorHAnsi" w:hAnsiTheme="minorHAnsi" w:cstheme="minorHAnsi"/>
        </w:rPr>
        <w:t xml:space="preserve">przyjętego zgodnie z punktem </w:t>
      </w:r>
      <w:r w:rsidR="00297A3C" w:rsidRPr="00684190">
        <w:rPr>
          <w:rFonts w:asciiTheme="minorHAnsi" w:hAnsiTheme="minorHAnsi" w:cstheme="minorHAnsi"/>
        </w:rPr>
        <w:t xml:space="preserve">3 </w:t>
      </w:r>
      <w:r w:rsidRPr="00684190">
        <w:rPr>
          <w:rFonts w:asciiTheme="minorHAnsi" w:hAnsiTheme="minorHAnsi" w:cstheme="minorHAnsi"/>
        </w:rPr>
        <w:t xml:space="preserve">okresu spłaty. </w:t>
      </w:r>
      <w:r w:rsidR="008E4B57" w:rsidRPr="00684190">
        <w:rPr>
          <w:rFonts w:asciiTheme="minorHAnsi" w:hAnsiTheme="minorHAnsi" w:cstheme="minorHAnsi"/>
          <w:lang w:eastAsia="pl-PL"/>
        </w:rPr>
        <w:t xml:space="preserve">Decyzję w tym zakresie podejmuje Partner Finansujący w oparciu o wyniki oceny zdolności kredytowej i ryzyka. </w:t>
      </w:r>
    </w:p>
    <w:p w14:paraId="68F59E4E" w14:textId="77777777" w:rsidR="003F4649" w:rsidRPr="00684190" w:rsidRDefault="003F4649" w:rsidP="005B64DD">
      <w:pPr>
        <w:pStyle w:val="Akapitzlist"/>
        <w:numPr>
          <w:ilvl w:val="0"/>
          <w:numId w:val="9"/>
        </w:numPr>
        <w:spacing w:before="120" w:after="0"/>
        <w:ind w:left="284" w:hanging="284"/>
        <w:contextualSpacing w:val="0"/>
        <w:rPr>
          <w:rFonts w:asciiTheme="minorHAnsi" w:hAnsiTheme="minorHAnsi" w:cstheme="minorHAnsi"/>
        </w:rPr>
      </w:pPr>
      <w:r w:rsidRPr="00684190">
        <w:rPr>
          <w:rFonts w:asciiTheme="minorHAnsi" w:hAnsiTheme="minorHAnsi" w:cstheme="minorHAnsi"/>
        </w:rPr>
        <w:t>Oprocentowanie Jednostkowej Pożyczki na warunkach korzystniejszych niż rynkowe jest stałe w całym okresie jej obowiązywania i wynosi 0% w skali roku.</w:t>
      </w:r>
    </w:p>
    <w:p w14:paraId="01D8A621" w14:textId="246494E7" w:rsidR="0024642B" w:rsidRPr="00684190" w:rsidRDefault="0024642B" w:rsidP="005B64DD">
      <w:pPr>
        <w:pStyle w:val="Nagwek1"/>
        <w:spacing w:before="120"/>
        <w:rPr>
          <w:rFonts w:asciiTheme="minorHAnsi" w:hAnsiTheme="minorHAnsi" w:cstheme="minorHAnsi"/>
          <w:color w:val="auto"/>
        </w:rPr>
      </w:pPr>
      <w:r w:rsidRPr="00684190">
        <w:rPr>
          <w:rFonts w:asciiTheme="minorHAnsi" w:hAnsiTheme="minorHAnsi" w:cstheme="minorHAnsi"/>
          <w:color w:val="auto"/>
        </w:rPr>
        <w:lastRenderedPageBreak/>
        <w:t>Część II Preferencje przy udzielaniu Jednostkowych Pożyczek</w:t>
      </w:r>
    </w:p>
    <w:p w14:paraId="696FF350" w14:textId="0AFF5341" w:rsidR="00E8724F" w:rsidRPr="00684190" w:rsidRDefault="009F2F38" w:rsidP="005B64DD">
      <w:pPr>
        <w:pStyle w:val="Akapitzlist"/>
        <w:numPr>
          <w:ilvl w:val="0"/>
          <w:numId w:val="22"/>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W</w:t>
      </w:r>
      <w:r w:rsidR="00E8724F" w:rsidRPr="00684190">
        <w:rPr>
          <w:rFonts w:asciiTheme="minorHAnsi" w:hAnsiTheme="minorHAnsi" w:cstheme="minorHAnsi"/>
        </w:rPr>
        <w:t xml:space="preserve"> przypadku Inwestycji Końcowych, w wyniku realizacji których osiągnięte zostaną poniższe </w:t>
      </w:r>
      <w:r w:rsidR="00CC247F" w:rsidRPr="00684190">
        <w:rPr>
          <w:rFonts w:asciiTheme="minorHAnsi" w:hAnsiTheme="minorHAnsi" w:cstheme="minorHAnsi"/>
        </w:rPr>
        <w:t>efekty</w:t>
      </w:r>
      <w:r w:rsidR="00E8724F" w:rsidRPr="00684190">
        <w:rPr>
          <w:rFonts w:asciiTheme="minorHAnsi" w:hAnsiTheme="minorHAnsi" w:cstheme="minorHAnsi"/>
        </w:rPr>
        <w:t xml:space="preserve">, przewidziana jest dotacja </w:t>
      </w:r>
      <w:r w:rsidR="00521148" w:rsidRPr="00684190">
        <w:rPr>
          <w:rFonts w:asciiTheme="minorHAnsi" w:hAnsiTheme="minorHAnsi" w:cstheme="minorHAnsi"/>
        </w:rPr>
        <w:t xml:space="preserve">na spłatę </w:t>
      </w:r>
      <w:r w:rsidR="00B92C82" w:rsidRPr="00684190">
        <w:rPr>
          <w:rFonts w:asciiTheme="minorHAnsi" w:hAnsiTheme="minorHAnsi" w:cstheme="minorHAnsi"/>
        </w:rPr>
        <w:t xml:space="preserve">części </w:t>
      </w:r>
      <w:r w:rsidR="00D76D3E" w:rsidRPr="00684190">
        <w:rPr>
          <w:rFonts w:asciiTheme="minorHAnsi" w:hAnsiTheme="minorHAnsi" w:cstheme="minorHAnsi"/>
        </w:rPr>
        <w:t xml:space="preserve">kapitału Jednostkowej Pożyczki </w:t>
      </w:r>
      <w:r w:rsidR="00B92C82" w:rsidRPr="00684190">
        <w:rPr>
          <w:rFonts w:asciiTheme="minorHAnsi" w:hAnsiTheme="minorHAnsi" w:cstheme="minorHAnsi"/>
        </w:rPr>
        <w:t xml:space="preserve">(dalej: „Dotacja”) </w:t>
      </w:r>
      <w:r w:rsidR="00D76D3E" w:rsidRPr="00684190">
        <w:rPr>
          <w:rFonts w:asciiTheme="minorHAnsi" w:hAnsiTheme="minorHAnsi" w:cstheme="minorHAnsi"/>
        </w:rPr>
        <w:t xml:space="preserve">pozostającego do spłaty </w:t>
      </w:r>
      <w:r w:rsidR="00E8724F" w:rsidRPr="00684190">
        <w:rPr>
          <w:rFonts w:asciiTheme="minorHAnsi" w:hAnsiTheme="minorHAnsi" w:cstheme="minorHAnsi"/>
        </w:rPr>
        <w:t>w następującej wysokości:</w:t>
      </w:r>
    </w:p>
    <w:p w14:paraId="5DC12554" w14:textId="0607C48B" w:rsidR="009F2F38" w:rsidRPr="00684190" w:rsidRDefault="001B3AE8" w:rsidP="005B64DD">
      <w:pPr>
        <w:pStyle w:val="Akapitzlist"/>
        <w:numPr>
          <w:ilvl w:val="0"/>
          <w:numId w:val="3"/>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15</w:t>
      </w:r>
      <w:r w:rsidR="009F2F38" w:rsidRPr="00684190">
        <w:rPr>
          <w:rFonts w:asciiTheme="minorHAnsi" w:hAnsiTheme="minorHAnsi" w:cstheme="minorHAnsi"/>
        </w:rPr>
        <w:t xml:space="preserve">% Jednostkowej Pożyczki </w:t>
      </w:r>
      <w:r w:rsidR="00252ADA" w:rsidRPr="00684190">
        <w:rPr>
          <w:rFonts w:asciiTheme="minorHAnsi" w:hAnsiTheme="minorHAnsi" w:cstheme="minorHAnsi"/>
        </w:rPr>
        <w:t>w przypadku Inwestycji Końcowych, po realizacji których poziom osiągniętych oszczędności energii pierwotnej w stosunku do stanu wyjściowego będzie na poziomie od 30% do 40%</w:t>
      </w:r>
      <w:r w:rsidR="00C7149F" w:rsidRPr="00684190">
        <w:rPr>
          <w:rFonts w:asciiTheme="minorHAnsi" w:hAnsiTheme="minorHAnsi" w:cstheme="minorHAnsi"/>
        </w:rPr>
        <w:t xml:space="preserve"> lub</w:t>
      </w:r>
    </w:p>
    <w:p w14:paraId="06D62EEA" w14:textId="730BC9E8" w:rsidR="00E8724F" w:rsidRPr="00684190" w:rsidRDefault="007E51FA" w:rsidP="005B64DD">
      <w:pPr>
        <w:pStyle w:val="Akapitzlist"/>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2</w:t>
      </w:r>
      <w:r w:rsidR="001B3AE8" w:rsidRPr="00684190">
        <w:rPr>
          <w:rFonts w:asciiTheme="minorHAnsi" w:hAnsiTheme="minorHAnsi" w:cstheme="minorHAnsi"/>
        </w:rPr>
        <w:t>0</w:t>
      </w:r>
      <w:r w:rsidR="00E8724F" w:rsidRPr="00684190">
        <w:rPr>
          <w:rFonts w:asciiTheme="minorHAnsi" w:hAnsiTheme="minorHAnsi" w:cstheme="minorHAnsi"/>
        </w:rPr>
        <w:t xml:space="preserve">% Jednostkowej Pożyczki </w:t>
      </w:r>
      <w:r w:rsidR="00814133" w:rsidRPr="00684190">
        <w:rPr>
          <w:rFonts w:asciiTheme="minorHAnsi" w:hAnsiTheme="minorHAnsi" w:cstheme="minorHAnsi"/>
        </w:rPr>
        <w:t xml:space="preserve">w przypadku </w:t>
      </w:r>
      <w:r w:rsidR="00A539E1" w:rsidRPr="00684190">
        <w:rPr>
          <w:rFonts w:asciiTheme="minorHAnsi" w:hAnsiTheme="minorHAnsi" w:cstheme="minorHAnsi"/>
        </w:rPr>
        <w:t>Inwestycji Końcowych</w:t>
      </w:r>
      <w:r w:rsidR="0005603A" w:rsidRPr="00684190">
        <w:rPr>
          <w:rFonts w:asciiTheme="minorHAnsi" w:hAnsiTheme="minorHAnsi" w:cstheme="minorHAnsi"/>
        </w:rPr>
        <w:t>, po realizacji których poziom</w:t>
      </w:r>
      <w:r w:rsidR="00A539E1" w:rsidRPr="00684190">
        <w:rPr>
          <w:rFonts w:asciiTheme="minorHAnsi" w:hAnsiTheme="minorHAnsi" w:cstheme="minorHAnsi"/>
        </w:rPr>
        <w:t xml:space="preserve"> </w:t>
      </w:r>
      <w:r w:rsidR="00814133" w:rsidRPr="00684190">
        <w:rPr>
          <w:rFonts w:asciiTheme="minorHAnsi" w:hAnsiTheme="minorHAnsi" w:cstheme="minorHAnsi"/>
        </w:rPr>
        <w:t>osiągnię</w:t>
      </w:r>
      <w:r w:rsidR="0005603A" w:rsidRPr="00684190">
        <w:rPr>
          <w:rFonts w:asciiTheme="minorHAnsi" w:hAnsiTheme="minorHAnsi" w:cstheme="minorHAnsi"/>
        </w:rPr>
        <w:t>tych</w:t>
      </w:r>
      <w:r w:rsidR="00814133" w:rsidRPr="00684190">
        <w:rPr>
          <w:rFonts w:asciiTheme="minorHAnsi" w:hAnsiTheme="minorHAnsi" w:cstheme="minorHAnsi"/>
        </w:rPr>
        <w:t xml:space="preserve"> oszczędności energii pierwotnej w stosunku do stanu wyjściowego </w:t>
      </w:r>
      <w:r w:rsidR="00E01635" w:rsidRPr="00684190">
        <w:rPr>
          <w:rFonts w:asciiTheme="minorHAnsi" w:hAnsiTheme="minorHAnsi" w:cstheme="minorHAnsi"/>
        </w:rPr>
        <w:t xml:space="preserve">będzie </w:t>
      </w:r>
      <w:r w:rsidR="00814133" w:rsidRPr="00684190">
        <w:rPr>
          <w:rFonts w:asciiTheme="minorHAnsi" w:hAnsiTheme="minorHAnsi" w:cstheme="minorHAnsi"/>
        </w:rPr>
        <w:t xml:space="preserve">na poziomie minimum </w:t>
      </w:r>
      <w:r w:rsidR="00AE021C" w:rsidRPr="00684190">
        <w:rPr>
          <w:rFonts w:asciiTheme="minorHAnsi" w:hAnsiTheme="minorHAnsi" w:cstheme="minorHAnsi"/>
        </w:rPr>
        <w:t>40</w:t>
      </w:r>
      <w:r w:rsidR="00CF7D9F" w:rsidRPr="00684190">
        <w:rPr>
          <w:rFonts w:asciiTheme="minorHAnsi" w:hAnsiTheme="minorHAnsi" w:cstheme="minorHAnsi"/>
        </w:rPr>
        <w:t>,01</w:t>
      </w:r>
      <w:r w:rsidR="00814133" w:rsidRPr="00684190">
        <w:rPr>
          <w:rFonts w:asciiTheme="minorHAnsi" w:hAnsiTheme="minorHAnsi" w:cstheme="minorHAnsi"/>
        </w:rPr>
        <w:t>%</w:t>
      </w:r>
      <w:r w:rsidR="00E8724F" w:rsidRPr="00684190">
        <w:rPr>
          <w:rFonts w:asciiTheme="minorHAnsi" w:hAnsiTheme="minorHAnsi" w:cstheme="minorHAnsi"/>
        </w:rPr>
        <w:t>,</w:t>
      </w:r>
    </w:p>
    <w:p w14:paraId="1E42ADB1" w14:textId="0D16E899" w:rsidR="007B5AE6" w:rsidRPr="00684190" w:rsidRDefault="00560DAA" w:rsidP="005B64DD">
      <w:pPr>
        <w:pStyle w:val="Akapitzlist"/>
        <w:numPr>
          <w:ilvl w:val="0"/>
          <w:numId w:val="3"/>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 xml:space="preserve">3% Jednostkowej Pożyczki </w:t>
      </w:r>
      <w:r w:rsidR="007B5AE6" w:rsidRPr="00684190">
        <w:rPr>
          <w:rFonts w:asciiTheme="minorHAnsi" w:hAnsiTheme="minorHAnsi" w:cstheme="minorHAnsi"/>
        </w:rPr>
        <w:t>w zakresie działań zwiększających efektywność energetyczną z jednoczesnym</w:t>
      </w:r>
      <w:r w:rsidR="00FA20E9" w:rsidRPr="00684190">
        <w:rPr>
          <w:rFonts w:asciiTheme="minorHAnsi" w:hAnsiTheme="minorHAnsi" w:cstheme="minorHAnsi"/>
        </w:rPr>
        <w:t xml:space="preserve"> zastosowaniem</w:t>
      </w:r>
      <w:r w:rsidR="00D36DCE" w:rsidRPr="00684190">
        <w:rPr>
          <w:rFonts w:asciiTheme="minorHAnsi" w:hAnsiTheme="minorHAnsi" w:cstheme="minorHAnsi"/>
        </w:rPr>
        <w:t xml:space="preserve"> </w:t>
      </w:r>
      <w:r w:rsidR="007B5AE6" w:rsidRPr="00684190">
        <w:rPr>
          <w:rFonts w:asciiTheme="minorHAnsi" w:hAnsiTheme="minorHAnsi" w:cstheme="minorHAnsi"/>
        </w:rPr>
        <w:t>OZE</w:t>
      </w:r>
      <w:r w:rsidRPr="00684190">
        <w:rPr>
          <w:rFonts w:asciiTheme="minorHAnsi" w:hAnsiTheme="minorHAnsi" w:cstheme="minorHAnsi"/>
        </w:rPr>
        <w:t>,</w:t>
      </w:r>
    </w:p>
    <w:p w14:paraId="61D27B3B" w14:textId="1BD1F844" w:rsidR="00E8724F" w:rsidRPr="00684190" w:rsidRDefault="007B5AE6" w:rsidP="005B64DD">
      <w:pPr>
        <w:pStyle w:val="Akapitzlist"/>
        <w:numPr>
          <w:ilvl w:val="0"/>
          <w:numId w:val="3"/>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 xml:space="preserve">2% </w:t>
      </w:r>
      <w:r w:rsidR="00E8724F" w:rsidRPr="00684190">
        <w:rPr>
          <w:rFonts w:asciiTheme="minorHAnsi" w:hAnsiTheme="minorHAnsi" w:cstheme="minorHAnsi"/>
        </w:rPr>
        <w:t xml:space="preserve">Jednostkowej Pożyczki </w:t>
      </w:r>
      <w:r w:rsidR="003700B5" w:rsidRPr="00684190">
        <w:rPr>
          <w:rFonts w:asciiTheme="minorHAnsi" w:hAnsiTheme="minorHAnsi" w:cstheme="minorHAnsi"/>
        </w:rPr>
        <w:t>w przypadku Inwestycji Końcowych</w:t>
      </w:r>
      <w:r w:rsidR="00363A42" w:rsidRPr="00684190">
        <w:rPr>
          <w:rFonts w:asciiTheme="minorHAnsi" w:hAnsiTheme="minorHAnsi" w:cstheme="minorHAnsi"/>
        </w:rPr>
        <w:t xml:space="preserve"> realizujących szersze cele Europejskiego Zielonego Ładu</w:t>
      </w:r>
      <w:r w:rsidR="00F30E76" w:rsidRPr="00684190">
        <w:rPr>
          <w:rFonts w:asciiTheme="minorHAnsi" w:hAnsiTheme="minorHAnsi" w:cstheme="minorHAnsi"/>
        </w:rPr>
        <w:t xml:space="preserve"> (np.</w:t>
      </w:r>
      <w:r w:rsidR="00B7687A" w:rsidRPr="00684190">
        <w:rPr>
          <w:rFonts w:asciiTheme="minorHAnsi" w:hAnsiTheme="minorHAnsi" w:cstheme="minorHAnsi"/>
        </w:rPr>
        <w:t xml:space="preserve"> </w:t>
      </w:r>
      <w:r w:rsidR="003700B5" w:rsidRPr="00684190">
        <w:rPr>
          <w:rFonts w:asciiTheme="minorHAnsi" w:hAnsiTheme="minorHAnsi" w:cstheme="minorHAnsi"/>
        </w:rPr>
        <w:t xml:space="preserve">zastosowanie dodatkowych elementów </w:t>
      </w:r>
      <w:proofErr w:type="spellStart"/>
      <w:r w:rsidR="003700B5" w:rsidRPr="00684190">
        <w:rPr>
          <w:rFonts w:asciiTheme="minorHAnsi" w:hAnsiTheme="minorHAnsi" w:cstheme="minorHAnsi"/>
        </w:rPr>
        <w:t>prośrodowiskowych</w:t>
      </w:r>
      <w:proofErr w:type="spellEnd"/>
      <w:r w:rsidR="003700B5" w:rsidRPr="00684190">
        <w:rPr>
          <w:rFonts w:asciiTheme="minorHAnsi" w:hAnsiTheme="minorHAnsi" w:cstheme="minorHAnsi"/>
        </w:rPr>
        <w:t xml:space="preserve"> i rozwiązań związanych z adaptacją do zmian klimatu, takich jak m.in. zielone dachy, zielone ściany, zbiorniki zatrzymujące wodę desz</w:t>
      </w:r>
      <w:r w:rsidR="0066752E" w:rsidRPr="00684190">
        <w:rPr>
          <w:rFonts w:asciiTheme="minorHAnsi" w:hAnsiTheme="minorHAnsi" w:cstheme="minorHAnsi"/>
        </w:rPr>
        <w:t>czową, rozwiązania na rzecz GOZ</w:t>
      </w:r>
      <w:r w:rsidR="00F30E76" w:rsidRPr="00684190">
        <w:rPr>
          <w:rFonts w:asciiTheme="minorHAnsi" w:hAnsiTheme="minorHAnsi" w:cstheme="minorHAnsi"/>
        </w:rPr>
        <w:t>)</w:t>
      </w:r>
      <w:r w:rsidR="0066752E" w:rsidRPr="00684190">
        <w:rPr>
          <w:rFonts w:asciiTheme="minorHAnsi" w:hAnsiTheme="minorHAnsi" w:cstheme="minorHAnsi"/>
        </w:rPr>
        <w:t>.</w:t>
      </w:r>
    </w:p>
    <w:p w14:paraId="62CE776C" w14:textId="00299A31" w:rsidR="00E8724F" w:rsidRPr="00684190" w:rsidRDefault="00E8724F" w:rsidP="005B64DD">
      <w:pPr>
        <w:pStyle w:val="Akapitzlist"/>
        <w:spacing w:before="120" w:after="0"/>
        <w:ind w:left="567"/>
        <w:contextualSpacing w:val="0"/>
        <w:jc w:val="both"/>
        <w:rPr>
          <w:rFonts w:asciiTheme="minorHAnsi" w:hAnsiTheme="minorHAnsi" w:cstheme="minorHAnsi"/>
        </w:rPr>
      </w:pPr>
      <w:r w:rsidRPr="00684190">
        <w:rPr>
          <w:rFonts w:asciiTheme="minorHAnsi" w:hAnsiTheme="minorHAnsi" w:cstheme="minorHAnsi"/>
        </w:rPr>
        <w:t xml:space="preserve">W przypadku spełnienia przez Ostatecznego Odbiorcę </w:t>
      </w:r>
      <w:r w:rsidR="002F7966" w:rsidRPr="00684190">
        <w:rPr>
          <w:rFonts w:asciiTheme="minorHAnsi" w:hAnsiTheme="minorHAnsi" w:cstheme="minorHAnsi"/>
        </w:rPr>
        <w:t xml:space="preserve">dwóch lub trzech warunków z </w:t>
      </w:r>
      <w:proofErr w:type="spellStart"/>
      <w:r w:rsidR="002F7966" w:rsidRPr="00684190">
        <w:rPr>
          <w:rFonts w:asciiTheme="minorHAnsi" w:hAnsiTheme="minorHAnsi" w:cstheme="minorHAnsi"/>
        </w:rPr>
        <w:t>ppkt</w:t>
      </w:r>
      <w:proofErr w:type="spellEnd"/>
      <w:r w:rsidR="002F7966" w:rsidRPr="00684190">
        <w:rPr>
          <w:rFonts w:asciiTheme="minorHAnsi" w:hAnsiTheme="minorHAnsi" w:cstheme="minorHAnsi"/>
        </w:rPr>
        <w:t xml:space="preserve"> 1) - 3)</w:t>
      </w:r>
      <w:r w:rsidR="00910610" w:rsidRPr="00684190">
        <w:rPr>
          <w:rFonts w:asciiTheme="minorHAnsi" w:hAnsiTheme="minorHAnsi" w:cstheme="minorHAnsi"/>
        </w:rPr>
        <w:t xml:space="preserve"> </w:t>
      </w:r>
      <w:r w:rsidRPr="00684190">
        <w:rPr>
          <w:rFonts w:asciiTheme="minorHAnsi" w:hAnsiTheme="minorHAnsi" w:cstheme="minorHAnsi"/>
        </w:rPr>
        <w:t xml:space="preserve">wysokość </w:t>
      </w:r>
      <w:r w:rsidR="00B92C82" w:rsidRPr="00684190">
        <w:rPr>
          <w:rFonts w:asciiTheme="minorHAnsi" w:hAnsiTheme="minorHAnsi" w:cstheme="minorHAnsi"/>
        </w:rPr>
        <w:t>D</w:t>
      </w:r>
      <w:r w:rsidR="007A4357" w:rsidRPr="00684190">
        <w:rPr>
          <w:rFonts w:asciiTheme="minorHAnsi" w:hAnsiTheme="minorHAnsi" w:cstheme="minorHAnsi"/>
        </w:rPr>
        <w:t xml:space="preserve">otacji </w:t>
      </w:r>
      <w:r w:rsidRPr="00684190">
        <w:rPr>
          <w:rFonts w:asciiTheme="minorHAnsi" w:hAnsiTheme="minorHAnsi" w:cstheme="minorHAnsi"/>
        </w:rPr>
        <w:t xml:space="preserve">sumuje się i wynosi nie więcej niż </w:t>
      </w:r>
      <w:r w:rsidR="001B3AE8" w:rsidRPr="00684190">
        <w:rPr>
          <w:rFonts w:asciiTheme="minorHAnsi" w:hAnsiTheme="minorHAnsi" w:cstheme="minorHAnsi"/>
        </w:rPr>
        <w:t>25</w:t>
      </w:r>
      <w:r w:rsidRPr="00684190">
        <w:rPr>
          <w:rFonts w:asciiTheme="minorHAnsi" w:hAnsiTheme="minorHAnsi" w:cstheme="minorHAnsi"/>
        </w:rPr>
        <w:t xml:space="preserve">% Jednostkowej Pożyczki. </w:t>
      </w:r>
    </w:p>
    <w:p w14:paraId="3D96F9D4" w14:textId="570CF868" w:rsidR="002A677D" w:rsidRPr="00684190" w:rsidRDefault="002A677D" w:rsidP="005B64DD">
      <w:pPr>
        <w:pStyle w:val="Akapitzlist"/>
        <w:numPr>
          <w:ilvl w:val="0"/>
          <w:numId w:val="22"/>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W przypadku gdy Inwestycja Końcowa dotyczy poprawy efektywności energetyc</w:t>
      </w:r>
      <w:r w:rsidR="003A4AD1" w:rsidRPr="00684190">
        <w:rPr>
          <w:rFonts w:asciiTheme="minorHAnsi" w:hAnsiTheme="minorHAnsi" w:cstheme="minorHAnsi"/>
        </w:rPr>
        <w:t>znej więcej niż jednego budynku</w:t>
      </w:r>
      <w:r w:rsidR="004D7BAC" w:rsidRPr="00684190">
        <w:rPr>
          <w:rFonts w:asciiTheme="minorHAnsi" w:hAnsiTheme="minorHAnsi" w:cstheme="minorHAnsi"/>
        </w:rPr>
        <w:t xml:space="preserve"> mieszkalnego</w:t>
      </w:r>
      <w:r w:rsidR="00A05184" w:rsidRPr="00684190">
        <w:rPr>
          <w:rFonts w:asciiTheme="minorHAnsi" w:hAnsiTheme="minorHAnsi" w:cstheme="minorHAnsi"/>
        </w:rPr>
        <w:t xml:space="preserve">, </w:t>
      </w:r>
      <w:r w:rsidRPr="00684190">
        <w:rPr>
          <w:rFonts w:asciiTheme="minorHAnsi" w:hAnsiTheme="minorHAnsi" w:cstheme="minorHAnsi"/>
        </w:rPr>
        <w:t xml:space="preserve">do wyliczenia wysokości </w:t>
      </w:r>
      <w:r w:rsidR="00B92C82" w:rsidRPr="00684190">
        <w:rPr>
          <w:rFonts w:asciiTheme="minorHAnsi" w:hAnsiTheme="minorHAnsi" w:cstheme="minorHAnsi"/>
        </w:rPr>
        <w:t>D</w:t>
      </w:r>
      <w:r w:rsidR="007A4357" w:rsidRPr="00684190">
        <w:rPr>
          <w:rFonts w:asciiTheme="minorHAnsi" w:hAnsiTheme="minorHAnsi" w:cstheme="minorHAnsi"/>
        </w:rPr>
        <w:t xml:space="preserve">otacji </w:t>
      </w:r>
      <w:r w:rsidRPr="00684190">
        <w:rPr>
          <w:rFonts w:asciiTheme="minorHAnsi" w:hAnsiTheme="minorHAnsi" w:cstheme="minorHAnsi"/>
        </w:rPr>
        <w:t xml:space="preserve">przyjmuje się średnią wartość wskaźnika oszczędności energii pierwotnej wyliczoną </w:t>
      </w:r>
      <w:r w:rsidR="00DE7302" w:rsidRPr="00684190">
        <w:rPr>
          <w:rFonts w:asciiTheme="minorHAnsi" w:hAnsiTheme="minorHAnsi" w:cstheme="minorHAnsi"/>
        </w:rPr>
        <w:t xml:space="preserve">dla </w:t>
      </w:r>
      <w:r w:rsidR="00FC3715" w:rsidRPr="00684190">
        <w:rPr>
          <w:rFonts w:asciiTheme="minorHAnsi" w:hAnsiTheme="minorHAnsi" w:cstheme="minorHAnsi"/>
        </w:rPr>
        <w:t xml:space="preserve">wszystkich </w:t>
      </w:r>
      <w:r w:rsidR="00B66FEF" w:rsidRPr="00684190">
        <w:rPr>
          <w:rFonts w:asciiTheme="minorHAnsi" w:hAnsiTheme="minorHAnsi" w:cstheme="minorHAnsi"/>
        </w:rPr>
        <w:t xml:space="preserve">budynków </w:t>
      </w:r>
      <w:r w:rsidRPr="00684190">
        <w:rPr>
          <w:rFonts w:asciiTheme="minorHAnsi" w:hAnsiTheme="minorHAnsi" w:cstheme="minorHAnsi"/>
        </w:rPr>
        <w:t xml:space="preserve">(z pominięciem </w:t>
      </w:r>
      <w:r w:rsidR="00C3327E" w:rsidRPr="00684190">
        <w:rPr>
          <w:rFonts w:asciiTheme="minorHAnsi" w:hAnsiTheme="minorHAnsi" w:cstheme="minorHAnsi"/>
        </w:rPr>
        <w:t xml:space="preserve">budynków </w:t>
      </w:r>
      <w:r w:rsidRPr="00684190">
        <w:rPr>
          <w:rFonts w:asciiTheme="minorHAnsi" w:hAnsiTheme="minorHAnsi" w:cstheme="minorHAnsi"/>
        </w:rPr>
        <w:t>zabytk</w:t>
      </w:r>
      <w:r w:rsidR="00C3327E" w:rsidRPr="00684190">
        <w:rPr>
          <w:rFonts w:asciiTheme="minorHAnsi" w:hAnsiTheme="minorHAnsi" w:cstheme="minorHAnsi"/>
        </w:rPr>
        <w:t>owych</w:t>
      </w:r>
      <w:r w:rsidRPr="00684190">
        <w:rPr>
          <w:rFonts w:asciiTheme="minorHAnsi" w:hAnsiTheme="minorHAnsi" w:cstheme="minorHAnsi"/>
          <w:vertAlign w:val="superscript"/>
        </w:rPr>
        <w:footnoteReference w:id="2"/>
      </w:r>
      <w:r w:rsidRPr="00684190">
        <w:rPr>
          <w:rFonts w:asciiTheme="minorHAnsi" w:hAnsiTheme="minorHAnsi" w:cstheme="minorHAnsi"/>
        </w:rPr>
        <w:t xml:space="preserve">), zgodnie z poniższym wzorem, z zastrzeżeniem, że wymóg minimum 30% oszczędności energii pierwotnej odnosi się do każdego budynku wchodzącego w skład Inwestycji Końcowej (wyjątek stanowią </w:t>
      </w:r>
      <w:r w:rsidR="00C3327E" w:rsidRPr="00684190">
        <w:rPr>
          <w:rFonts w:asciiTheme="minorHAnsi" w:hAnsiTheme="minorHAnsi" w:cstheme="minorHAnsi"/>
        </w:rPr>
        <w:t xml:space="preserve">budynki </w:t>
      </w:r>
      <w:r w:rsidRPr="00684190">
        <w:rPr>
          <w:rFonts w:asciiTheme="minorHAnsi" w:hAnsiTheme="minorHAnsi" w:cstheme="minorHAnsi"/>
        </w:rPr>
        <w:t>zabytk</w:t>
      </w:r>
      <w:r w:rsidR="00C3327E" w:rsidRPr="00684190">
        <w:rPr>
          <w:rFonts w:asciiTheme="minorHAnsi" w:hAnsiTheme="minorHAnsi" w:cstheme="minorHAnsi"/>
        </w:rPr>
        <w:t>owe</w:t>
      </w:r>
      <w:r w:rsidRPr="00684190">
        <w:rPr>
          <w:rFonts w:asciiTheme="minorHAnsi" w:hAnsiTheme="minorHAnsi" w:cstheme="minorHAnsi"/>
        </w:rPr>
        <w:t>)</w:t>
      </w:r>
      <w:r w:rsidR="00B9561B" w:rsidRPr="00684190">
        <w:rPr>
          <w:rFonts w:asciiTheme="minorHAnsi" w:hAnsiTheme="minorHAnsi" w:cstheme="minorHAnsi"/>
        </w:rPr>
        <w:t>:</w:t>
      </w:r>
    </w:p>
    <w:p w14:paraId="2F5B6B15" w14:textId="77777777" w:rsidR="002A677D" w:rsidRPr="00684190" w:rsidRDefault="002A677D" w:rsidP="005B64DD">
      <w:pPr>
        <w:spacing w:before="120" w:after="0"/>
        <w:ind w:left="851"/>
        <w:jc w:val="both"/>
        <w:rPr>
          <w:rFonts w:asciiTheme="minorHAnsi" w:hAnsiTheme="minorHAnsi" w:cstheme="minorHAnsi"/>
        </w:rPr>
      </w:pPr>
      <w:r w:rsidRPr="00684190">
        <w:rPr>
          <w:rFonts w:asciiTheme="minorHAnsi" w:hAnsiTheme="minorHAnsi" w:cstheme="minorHAnsi"/>
        </w:rPr>
        <w:t xml:space="preserve">Średnia EE = SUMA (EE1 * %JP1 + EE2 * %JP2 + …. + </w:t>
      </w:r>
      <w:proofErr w:type="spellStart"/>
      <w:r w:rsidRPr="00684190">
        <w:rPr>
          <w:rFonts w:asciiTheme="minorHAnsi" w:hAnsiTheme="minorHAnsi" w:cstheme="minorHAnsi"/>
        </w:rPr>
        <w:t>EEn</w:t>
      </w:r>
      <w:proofErr w:type="spellEnd"/>
      <w:r w:rsidRPr="00684190">
        <w:rPr>
          <w:rFonts w:asciiTheme="minorHAnsi" w:hAnsiTheme="minorHAnsi" w:cstheme="minorHAnsi"/>
        </w:rPr>
        <w:t xml:space="preserve"> * %</w:t>
      </w:r>
      <w:proofErr w:type="spellStart"/>
      <w:r w:rsidRPr="00684190">
        <w:rPr>
          <w:rFonts w:asciiTheme="minorHAnsi" w:hAnsiTheme="minorHAnsi" w:cstheme="minorHAnsi"/>
        </w:rPr>
        <w:t>JPn</w:t>
      </w:r>
      <w:proofErr w:type="spellEnd"/>
      <w:r w:rsidRPr="00684190">
        <w:rPr>
          <w:rFonts w:asciiTheme="minorHAnsi" w:hAnsiTheme="minorHAnsi" w:cstheme="minorHAnsi"/>
        </w:rPr>
        <w:t>),</w:t>
      </w:r>
    </w:p>
    <w:p w14:paraId="6127C298" w14:textId="77777777" w:rsidR="002A677D" w:rsidRPr="00684190" w:rsidRDefault="002A677D" w:rsidP="005B64DD">
      <w:pPr>
        <w:spacing w:before="120" w:after="0"/>
        <w:ind w:left="851"/>
        <w:jc w:val="both"/>
        <w:rPr>
          <w:rFonts w:asciiTheme="minorHAnsi" w:hAnsiTheme="minorHAnsi" w:cstheme="minorHAnsi"/>
        </w:rPr>
      </w:pPr>
      <w:r w:rsidRPr="00684190">
        <w:rPr>
          <w:rFonts w:asciiTheme="minorHAnsi" w:hAnsiTheme="minorHAnsi" w:cstheme="minorHAnsi"/>
        </w:rPr>
        <w:t>gdzie:</w:t>
      </w:r>
    </w:p>
    <w:p w14:paraId="4D612360" w14:textId="77777777" w:rsidR="002A677D" w:rsidRPr="00684190" w:rsidRDefault="002A677D" w:rsidP="005B64DD">
      <w:pPr>
        <w:spacing w:before="120" w:after="0"/>
        <w:ind w:left="851"/>
        <w:jc w:val="both"/>
        <w:rPr>
          <w:rFonts w:asciiTheme="minorHAnsi" w:hAnsiTheme="minorHAnsi" w:cstheme="minorHAnsi"/>
        </w:rPr>
      </w:pPr>
      <w:r w:rsidRPr="00684190">
        <w:rPr>
          <w:rFonts w:asciiTheme="minorHAnsi" w:hAnsiTheme="minorHAnsi" w:cstheme="minorHAnsi"/>
        </w:rPr>
        <w:t>Średnia EE (%) – średnia oszczędność energii osiągnięta w wielu budynkach objętych IK, ważona odsetkiem kwalifikowanych wydatków przeznaczonych w ramach JP na poszczególne budynki,</w:t>
      </w:r>
    </w:p>
    <w:p w14:paraId="2296F1C5" w14:textId="77777777" w:rsidR="002A677D" w:rsidRPr="00684190" w:rsidRDefault="002A677D" w:rsidP="005B64DD">
      <w:pPr>
        <w:spacing w:before="120" w:after="0"/>
        <w:ind w:left="851"/>
        <w:jc w:val="both"/>
        <w:rPr>
          <w:rFonts w:asciiTheme="minorHAnsi" w:hAnsiTheme="minorHAnsi" w:cstheme="minorHAnsi"/>
        </w:rPr>
      </w:pPr>
      <w:r w:rsidRPr="00684190">
        <w:rPr>
          <w:rFonts w:asciiTheme="minorHAnsi" w:hAnsiTheme="minorHAnsi" w:cstheme="minorHAnsi"/>
        </w:rPr>
        <w:t>EE1 (%) – oszczędność energii w budynku 1, skalkulowana jako iloraz zapotrzebowania na energię po realizacji IK w odniesieniu do budynku 1 oraz zapotrzebowania na energię przed realizacją IK w odniesieniu do budynku 1,</w:t>
      </w:r>
    </w:p>
    <w:p w14:paraId="13C5C885" w14:textId="77777777" w:rsidR="002A677D" w:rsidRPr="00684190" w:rsidRDefault="002A677D" w:rsidP="005B64DD">
      <w:pPr>
        <w:spacing w:before="120" w:after="0"/>
        <w:ind w:left="851"/>
        <w:jc w:val="both"/>
        <w:rPr>
          <w:rFonts w:asciiTheme="minorHAnsi" w:hAnsiTheme="minorHAnsi" w:cstheme="minorHAnsi"/>
        </w:rPr>
      </w:pPr>
      <w:r w:rsidRPr="00684190">
        <w:rPr>
          <w:rFonts w:asciiTheme="minorHAnsi" w:hAnsiTheme="minorHAnsi" w:cstheme="minorHAnsi"/>
        </w:rPr>
        <w:t>EE2 (%) – oszczędność energii w budynku 2, skalkulowana jako iloraz zapotrzebowania na energię po realizacji IK w odniesieniu do budynku 2 oraz zapotrzebowania na energię przed realizacją IK w odniesieniu do budynku 2,</w:t>
      </w:r>
    </w:p>
    <w:p w14:paraId="25AA4167" w14:textId="77777777" w:rsidR="002A677D" w:rsidRPr="00684190" w:rsidRDefault="002A677D" w:rsidP="005B64DD">
      <w:pPr>
        <w:spacing w:before="120" w:after="0"/>
        <w:ind w:left="851"/>
        <w:jc w:val="both"/>
        <w:rPr>
          <w:rFonts w:asciiTheme="minorHAnsi" w:hAnsiTheme="minorHAnsi" w:cstheme="minorHAnsi"/>
        </w:rPr>
      </w:pPr>
      <w:proofErr w:type="spellStart"/>
      <w:r w:rsidRPr="00684190">
        <w:rPr>
          <w:rFonts w:asciiTheme="minorHAnsi" w:hAnsiTheme="minorHAnsi" w:cstheme="minorHAnsi"/>
        </w:rPr>
        <w:t>EEn</w:t>
      </w:r>
      <w:proofErr w:type="spellEnd"/>
      <w:r w:rsidRPr="00684190">
        <w:rPr>
          <w:rFonts w:asciiTheme="minorHAnsi" w:hAnsiTheme="minorHAnsi" w:cstheme="minorHAnsi"/>
        </w:rPr>
        <w:t xml:space="preserve"> (%) – oszczędność energii w budynku n (ostatnim budynku którego dotyczy IK), skalkulowana jako iloraz zapotrzebowania na energię po realizacji JP w odniesieniu do budynku n oraz zapotrzebowania na energię przed realizacją IK w odniesieniu do budynku n,</w:t>
      </w:r>
    </w:p>
    <w:p w14:paraId="0F9BD0E8" w14:textId="77777777" w:rsidR="002A677D" w:rsidRPr="00684190" w:rsidRDefault="002A677D" w:rsidP="005B64DD">
      <w:pPr>
        <w:spacing w:before="120" w:after="0"/>
        <w:ind w:left="851"/>
        <w:jc w:val="both"/>
        <w:rPr>
          <w:rFonts w:asciiTheme="minorHAnsi" w:hAnsiTheme="minorHAnsi" w:cstheme="minorHAnsi"/>
        </w:rPr>
      </w:pPr>
      <w:r w:rsidRPr="00684190">
        <w:rPr>
          <w:rFonts w:asciiTheme="minorHAnsi" w:hAnsiTheme="minorHAnsi" w:cstheme="minorHAnsi"/>
        </w:rPr>
        <w:t>%JP1 (%) – iloraz kwalifikowanych wydatków w ramach JP przeznaczonych na podniesienie efektywności energetycznej budynku 1 oraz kwalifikowanych wydatków całej JP,</w:t>
      </w:r>
    </w:p>
    <w:p w14:paraId="67AA0881" w14:textId="77777777" w:rsidR="002A677D" w:rsidRPr="00684190" w:rsidRDefault="002A677D" w:rsidP="005B64DD">
      <w:pPr>
        <w:spacing w:before="120" w:after="0"/>
        <w:ind w:left="851"/>
        <w:jc w:val="both"/>
        <w:rPr>
          <w:rFonts w:asciiTheme="minorHAnsi" w:hAnsiTheme="minorHAnsi" w:cstheme="minorHAnsi"/>
        </w:rPr>
      </w:pPr>
      <w:r w:rsidRPr="00684190">
        <w:rPr>
          <w:rFonts w:asciiTheme="minorHAnsi" w:hAnsiTheme="minorHAnsi" w:cstheme="minorHAnsi"/>
        </w:rPr>
        <w:lastRenderedPageBreak/>
        <w:t>%JP2 (%) – iloraz kwalifikowanych wydatków w ramach JP przeznaczonych na podniesienie efektywności energetycznej budynku 2 oraz kwalifikowanych wydatków całej JP,</w:t>
      </w:r>
    </w:p>
    <w:p w14:paraId="01152DDC" w14:textId="77777777" w:rsidR="002A677D" w:rsidRPr="00684190" w:rsidRDefault="002A677D" w:rsidP="005B64DD">
      <w:pPr>
        <w:spacing w:before="120" w:after="0"/>
        <w:ind w:left="851"/>
        <w:jc w:val="both"/>
        <w:rPr>
          <w:rFonts w:asciiTheme="minorHAnsi" w:hAnsiTheme="minorHAnsi" w:cstheme="minorHAnsi"/>
        </w:rPr>
      </w:pPr>
      <w:r w:rsidRPr="00684190">
        <w:rPr>
          <w:rFonts w:asciiTheme="minorHAnsi" w:hAnsiTheme="minorHAnsi" w:cstheme="minorHAnsi"/>
        </w:rPr>
        <w:t>%</w:t>
      </w:r>
      <w:proofErr w:type="spellStart"/>
      <w:r w:rsidRPr="00684190">
        <w:rPr>
          <w:rFonts w:asciiTheme="minorHAnsi" w:hAnsiTheme="minorHAnsi" w:cstheme="minorHAnsi"/>
        </w:rPr>
        <w:t>JPn</w:t>
      </w:r>
      <w:proofErr w:type="spellEnd"/>
      <w:r w:rsidRPr="00684190">
        <w:rPr>
          <w:rFonts w:asciiTheme="minorHAnsi" w:hAnsiTheme="minorHAnsi" w:cstheme="minorHAnsi"/>
        </w:rPr>
        <w:t xml:space="preserve"> (%) - iloraz kwalifikowanych wydatków w ramach JP przeznaczonych na podniesienie efektywności energetycznej budynku n (ostatniego budynku którego dotyczy JP) oraz kwalifikowanych wydatków całej JP.</w:t>
      </w:r>
    </w:p>
    <w:p w14:paraId="25C86724" w14:textId="6DB17DB9" w:rsidR="00E8724F" w:rsidRPr="00684190" w:rsidRDefault="00E8724F" w:rsidP="005B64DD">
      <w:pPr>
        <w:pStyle w:val="Akapitzlist"/>
        <w:numPr>
          <w:ilvl w:val="0"/>
          <w:numId w:val="22"/>
        </w:numPr>
        <w:spacing w:before="120" w:after="0"/>
        <w:ind w:left="284" w:hanging="284"/>
        <w:contextualSpacing w:val="0"/>
        <w:rPr>
          <w:rFonts w:asciiTheme="minorHAnsi" w:hAnsiTheme="minorHAnsi" w:cstheme="minorHAnsi"/>
        </w:rPr>
      </w:pPr>
      <w:r w:rsidRPr="00684190">
        <w:rPr>
          <w:rFonts w:asciiTheme="minorHAnsi" w:hAnsiTheme="minorHAnsi" w:cstheme="minorHAnsi"/>
        </w:rPr>
        <w:t xml:space="preserve">Szczegółowe warunki i zasady </w:t>
      </w:r>
      <w:r w:rsidR="00212D33" w:rsidRPr="00684190">
        <w:rPr>
          <w:rFonts w:asciiTheme="minorHAnsi" w:hAnsiTheme="minorHAnsi" w:cstheme="minorHAnsi"/>
        </w:rPr>
        <w:t>dotyczące</w:t>
      </w:r>
      <w:r w:rsidR="00B92C82" w:rsidRPr="00684190">
        <w:rPr>
          <w:rFonts w:asciiTheme="minorHAnsi" w:hAnsiTheme="minorHAnsi" w:cstheme="minorHAnsi"/>
        </w:rPr>
        <w:t xml:space="preserve"> D</w:t>
      </w:r>
      <w:r w:rsidR="007A4357" w:rsidRPr="00684190">
        <w:rPr>
          <w:rFonts w:asciiTheme="minorHAnsi" w:hAnsiTheme="minorHAnsi" w:cstheme="minorHAnsi"/>
        </w:rPr>
        <w:t xml:space="preserve">otacji </w:t>
      </w:r>
      <w:r w:rsidRPr="00684190">
        <w:rPr>
          <w:rFonts w:asciiTheme="minorHAnsi" w:hAnsiTheme="minorHAnsi" w:cstheme="minorHAnsi"/>
        </w:rPr>
        <w:t xml:space="preserve">określone zostały w Części </w:t>
      </w:r>
      <w:r w:rsidR="00E223A5" w:rsidRPr="00684190">
        <w:rPr>
          <w:rFonts w:asciiTheme="minorHAnsi" w:hAnsiTheme="minorHAnsi" w:cstheme="minorHAnsi"/>
        </w:rPr>
        <w:t>I</w:t>
      </w:r>
      <w:r w:rsidRPr="00684190">
        <w:rPr>
          <w:rFonts w:asciiTheme="minorHAnsi" w:hAnsiTheme="minorHAnsi" w:cstheme="minorHAnsi"/>
        </w:rPr>
        <w:t>X</w:t>
      </w:r>
      <w:r w:rsidR="00E223A5" w:rsidRPr="00684190">
        <w:rPr>
          <w:rFonts w:asciiTheme="minorHAnsi" w:hAnsiTheme="minorHAnsi" w:cstheme="minorHAnsi"/>
        </w:rPr>
        <w:t xml:space="preserve"> Karty</w:t>
      </w:r>
      <w:r w:rsidRPr="00684190">
        <w:rPr>
          <w:rFonts w:asciiTheme="minorHAnsi" w:hAnsiTheme="minorHAnsi" w:cstheme="minorHAnsi"/>
        </w:rPr>
        <w:t>.</w:t>
      </w:r>
    </w:p>
    <w:p w14:paraId="4528EF03" w14:textId="79AF0598" w:rsidR="001E1B95" w:rsidRPr="00684190" w:rsidRDefault="001E1B95" w:rsidP="005B64DD">
      <w:pPr>
        <w:pStyle w:val="Nagwek1"/>
        <w:spacing w:before="120"/>
        <w:rPr>
          <w:rFonts w:asciiTheme="minorHAnsi" w:hAnsiTheme="minorHAnsi" w:cstheme="minorHAnsi"/>
          <w:color w:val="auto"/>
        </w:rPr>
      </w:pPr>
      <w:r w:rsidRPr="00684190">
        <w:rPr>
          <w:rFonts w:asciiTheme="minorHAnsi" w:hAnsiTheme="minorHAnsi" w:cstheme="minorHAnsi"/>
          <w:color w:val="auto"/>
        </w:rPr>
        <w:t>Część I</w:t>
      </w:r>
      <w:r w:rsidR="00E223A5" w:rsidRPr="00684190">
        <w:rPr>
          <w:rFonts w:asciiTheme="minorHAnsi" w:hAnsiTheme="minorHAnsi" w:cstheme="minorHAnsi"/>
          <w:color w:val="auto"/>
        </w:rPr>
        <w:t>II</w:t>
      </w:r>
      <w:r w:rsidRPr="00684190">
        <w:rPr>
          <w:rFonts w:asciiTheme="minorHAnsi" w:hAnsiTheme="minorHAnsi" w:cstheme="minorHAnsi"/>
          <w:color w:val="auto"/>
        </w:rPr>
        <w:t xml:space="preserve"> Typy Inwestycji Końcowych możliwe do sfinansowania</w:t>
      </w:r>
    </w:p>
    <w:p w14:paraId="3CA101FB" w14:textId="7AC2B381" w:rsidR="000B2762" w:rsidRPr="00684190" w:rsidRDefault="001327AA" w:rsidP="005B64DD">
      <w:pPr>
        <w:pStyle w:val="Default"/>
        <w:numPr>
          <w:ilvl w:val="0"/>
          <w:numId w:val="1"/>
        </w:numPr>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Jednostkowa Pożyczka może być przeznaczona na finansowanie Inwestycji Końcowych polegających na</w:t>
      </w:r>
      <w:r w:rsidR="001D6CEF" w:rsidRPr="00684190">
        <w:rPr>
          <w:rFonts w:asciiTheme="minorHAnsi" w:hAnsiTheme="minorHAnsi" w:cstheme="minorHAnsi"/>
          <w:color w:val="auto"/>
          <w:sz w:val="22"/>
          <w:szCs w:val="22"/>
        </w:rPr>
        <w:t xml:space="preserve"> </w:t>
      </w:r>
      <w:r w:rsidR="004435D0" w:rsidRPr="00684190">
        <w:rPr>
          <w:rFonts w:asciiTheme="minorHAnsi" w:hAnsiTheme="minorHAnsi" w:cstheme="minorHAnsi"/>
          <w:color w:val="auto"/>
          <w:sz w:val="22"/>
          <w:szCs w:val="22"/>
        </w:rPr>
        <w:t>poprawie</w:t>
      </w:r>
      <w:r w:rsidR="00151E42" w:rsidRPr="00684190">
        <w:rPr>
          <w:rFonts w:asciiTheme="minorHAnsi" w:hAnsiTheme="minorHAnsi" w:cstheme="minorHAnsi"/>
          <w:color w:val="auto"/>
          <w:sz w:val="22"/>
          <w:szCs w:val="22"/>
        </w:rPr>
        <w:t xml:space="preserve"> efektywności energetycznej </w:t>
      </w:r>
      <w:r w:rsidR="00A6519F" w:rsidRPr="00684190">
        <w:rPr>
          <w:rFonts w:asciiTheme="minorHAnsi" w:hAnsiTheme="minorHAnsi" w:cstheme="minorHAnsi"/>
          <w:color w:val="auto"/>
          <w:sz w:val="22"/>
          <w:szCs w:val="22"/>
        </w:rPr>
        <w:t xml:space="preserve">wielorodzinnych budynków mieszkalnych </w:t>
      </w:r>
      <w:r w:rsidR="00547AC7" w:rsidRPr="00684190">
        <w:rPr>
          <w:rFonts w:asciiTheme="minorHAnsi" w:hAnsiTheme="minorHAnsi" w:cstheme="minorHAnsi"/>
          <w:color w:val="auto"/>
          <w:sz w:val="22"/>
          <w:szCs w:val="22"/>
        </w:rPr>
        <w:t>zwanych dalej Typem Inwestycji Końcow</w:t>
      </w:r>
      <w:r w:rsidR="00432038" w:rsidRPr="00684190">
        <w:rPr>
          <w:rFonts w:asciiTheme="minorHAnsi" w:hAnsiTheme="minorHAnsi" w:cstheme="minorHAnsi"/>
          <w:color w:val="auto"/>
          <w:sz w:val="22"/>
          <w:szCs w:val="22"/>
        </w:rPr>
        <w:t>ej</w:t>
      </w:r>
      <w:r w:rsidR="001C6DA9" w:rsidRPr="00684190">
        <w:rPr>
          <w:rFonts w:asciiTheme="minorHAnsi" w:hAnsiTheme="minorHAnsi" w:cstheme="minorHAnsi"/>
          <w:color w:val="auto"/>
          <w:sz w:val="22"/>
          <w:szCs w:val="22"/>
        </w:rPr>
        <w:t>.</w:t>
      </w:r>
      <w:r w:rsidR="00547AC7" w:rsidRPr="00684190">
        <w:rPr>
          <w:rFonts w:asciiTheme="minorHAnsi" w:hAnsiTheme="minorHAnsi" w:cstheme="minorHAnsi"/>
          <w:color w:val="auto"/>
          <w:sz w:val="22"/>
          <w:szCs w:val="22"/>
        </w:rPr>
        <w:t xml:space="preserve"> </w:t>
      </w:r>
    </w:p>
    <w:p w14:paraId="74C758FE" w14:textId="0A0123ED" w:rsidR="00374396" w:rsidRPr="00684190" w:rsidRDefault="001C6DA9" w:rsidP="005B64DD">
      <w:pPr>
        <w:pStyle w:val="Default"/>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 xml:space="preserve">W ramach Jednostkowej Pożyczki możliwe będzie poniesienie wydatków na </w:t>
      </w:r>
      <w:r w:rsidR="00151E42" w:rsidRPr="00684190">
        <w:rPr>
          <w:rFonts w:asciiTheme="minorHAnsi" w:hAnsiTheme="minorHAnsi" w:cstheme="minorHAnsi"/>
          <w:color w:val="auto"/>
          <w:sz w:val="22"/>
          <w:szCs w:val="22"/>
        </w:rPr>
        <w:t>m.in.</w:t>
      </w:r>
      <w:r w:rsidR="004435D0" w:rsidRPr="00684190">
        <w:rPr>
          <w:rFonts w:asciiTheme="minorHAnsi" w:hAnsiTheme="minorHAnsi" w:cstheme="minorHAnsi"/>
          <w:color w:val="auto"/>
          <w:sz w:val="22"/>
          <w:szCs w:val="22"/>
        </w:rPr>
        <w:t>:</w:t>
      </w:r>
      <w:r w:rsidR="00151E42" w:rsidRPr="00684190">
        <w:rPr>
          <w:rFonts w:asciiTheme="minorHAnsi" w:hAnsiTheme="minorHAnsi" w:cstheme="minorHAnsi"/>
          <w:color w:val="auto"/>
          <w:sz w:val="22"/>
          <w:szCs w:val="22"/>
        </w:rPr>
        <w:t xml:space="preserve"> ocieplenie obiektu, wykorzystanie technologii odzysku ciepła, przyłączenie do sieci ciepłowniczej, instalacj</w:t>
      </w:r>
      <w:r w:rsidR="000B5279" w:rsidRPr="00684190">
        <w:rPr>
          <w:rFonts w:asciiTheme="minorHAnsi" w:hAnsiTheme="minorHAnsi" w:cstheme="minorHAnsi"/>
          <w:color w:val="auto"/>
          <w:sz w:val="22"/>
          <w:szCs w:val="22"/>
        </w:rPr>
        <w:t>ę</w:t>
      </w:r>
      <w:r w:rsidR="00FD5D1D" w:rsidRPr="00684190">
        <w:rPr>
          <w:rFonts w:asciiTheme="minorHAnsi" w:hAnsiTheme="minorHAnsi" w:cstheme="minorHAnsi"/>
          <w:color w:val="auto"/>
          <w:sz w:val="22"/>
          <w:szCs w:val="22"/>
        </w:rPr>
        <w:t xml:space="preserve"> </w:t>
      </w:r>
      <w:r w:rsidR="00151E42" w:rsidRPr="00684190">
        <w:rPr>
          <w:rFonts w:asciiTheme="minorHAnsi" w:hAnsiTheme="minorHAnsi" w:cstheme="minorHAnsi"/>
          <w:color w:val="auto"/>
          <w:sz w:val="22"/>
          <w:szCs w:val="22"/>
        </w:rPr>
        <w:t xml:space="preserve">nowych niskoemisyjnych lub odnawialnych źródeł ciepła lub energii elektrycznej na potrzeby własne, </w:t>
      </w:r>
      <w:r w:rsidR="00E6314D" w:rsidRPr="00684190">
        <w:rPr>
          <w:rFonts w:asciiTheme="minorHAnsi" w:hAnsiTheme="minorHAnsi" w:cstheme="minorHAnsi"/>
          <w:color w:val="auto"/>
          <w:sz w:val="22"/>
          <w:szCs w:val="22"/>
        </w:rPr>
        <w:t>wraz z magazynami energii</w:t>
      </w:r>
      <w:r w:rsidR="00151E42" w:rsidRPr="00684190">
        <w:rPr>
          <w:rFonts w:asciiTheme="minorHAnsi" w:hAnsiTheme="minorHAnsi" w:cstheme="minorHAnsi"/>
          <w:color w:val="auto"/>
          <w:sz w:val="22"/>
          <w:szCs w:val="22"/>
        </w:rPr>
        <w:t>, wymian</w:t>
      </w:r>
      <w:r w:rsidR="000B5279" w:rsidRPr="00684190">
        <w:rPr>
          <w:rFonts w:asciiTheme="minorHAnsi" w:hAnsiTheme="minorHAnsi" w:cstheme="minorHAnsi"/>
          <w:color w:val="auto"/>
          <w:sz w:val="22"/>
          <w:szCs w:val="22"/>
        </w:rPr>
        <w:t>ę</w:t>
      </w:r>
      <w:r w:rsidR="00151E42" w:rsidRPr="00684190">
        <w:rPr>
          <w:rFonts w:asciiTheme="minorHAnsi" w:hAnsiTheme="minorHAnsi" w:cstheme="minorHAnsi"/>
          <w:color w:val="auto"/>
          <w:sz w:val="22"/>
          <w:szCs w:val="22"/>
        </w:rPr>
        <w:t xml:space="preserve"> oświetlenia na bardziej energooszczędne, zakup urządzeń umożliwiających indywidualne rozliczenie kosztów dostarczonego ciepła lub chłodu wyposażonych w funkcje zdalnego odczytu oraz zastosowanie systemów zarządz</w:t>
      </w:r>
      <w:r w:rsidR="00513EC3" w:rsidRPr="00684190">
        <w:rPr>
          <w:rFonts w:asciiTheme="minorHAnsi" w:hAnsiTheme="minorHAnsi" w:cstheme="minorHAnsi"/>
          <w:color w:val="auto"/>
          <w:sz w:val="22"/>
          <w:szCs w:val="22"/>
        </w:rPr>
        <w:t xml:space="preserve">ania energią w budynku (BMS), </w:t>
      </w:r>
      <w:r w:rsidR="00151E42" w:rsidRPr="00684190">
        <w:rPr>
          <w:rFonts w:asciiTheme="minorHAnsi" w:hAnsiTheme="minorHAnsi" w:cstheme="minorHAnsi"/>
          <w:color w:val="auto"/>
          <w:sz w:val="22"/>
          <w:szCs w:val="22"/>
        </w:rPr>
        <w:t>modernizacj</w:t>
      </w:r>
      <w:r w:rsidR="00513EC3" w:rsidRPr="00684190">
        <w:rPr>
          <w:rFonts w:asciiTheme="minorHAnsi" w:hAnsiTheme="minorHAnsi" w:cstheme="minorHAnsi"/>
          <w:color w:val="auto"/>
          <w:sz w:val="22"/>
          <w:szCs w:val="22"/>
        </w:rPr>
        <w:t>a</w:t>
      </w:r>
      <w:r w:rsidR="00151E42" w:rsidRPr="00684190">
        <w:rPr>
          <w:rFonts w:asciiTheme="minorHAnsi" w:hAnsiTheme="minorHAnsi" w:cstheme="minorHAnsi"/>
          <w:color w:val="auto"/>
          <w:sz w:val="22"/>
          <w:szCs w:val="22"/>
        </w:rPr>
        <w:t xml:space="preserve"> systemów wentylacji i klimatyzacji</w:t>
      </w:r>
      <w:r w:rsidR="001D6CEF" w:rsidRPr="00684190">
        <w:rPr>
          <w:rFonts w:asciiTheme="minorHAnsi" w:hAnsiTheme="minorHAnsi" w:cstheme="minorHAnsi"/>
          <w:color w:val="auto"/>
          <w:sz w:val="22"/>
          <w:szCs w:val="22"/>
        </w:rPr>
        <w:t>.</w:t>
      </w:r>
      <w:r w:rsidR="00763DEC" w:rsidRPr="00684190">
        <w:rPr>
          <w:rFonts w:asciiTheme="minorHAnsi" w:hAnsiTheme="minorHAnsi" w:cstheme="minorHAnsi"/>
          <w:color w:val="auto"/>
          <w:sz w:val="22"/>
          <w:szCs w:val="22"/>
        </w:rPr>
        <w:t xml:space="preserve"> </w:t>
      </w:r>
    </w:p>
    <w:p w14:paraId="2F516B52" w14:textId="77777777" w:rsidR="008F24E3" w:rsidRPr="00684190" w:rsidRDefault="001327AA" w:rsidP="005B64DD">
      <w:pPr>
        <w:pStyle w:val="Default"/>
        <w:numPr>
          <w:ilvl w:val="0"/>
          <w:numId w:val="1"/>
        </w:numPr>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 xml:space="preserve">Dodatkowo, łącznie z celami, o których mowa w pkt 1, z zastrzeżeniem pkt </w:t>
      </w:r>
      <w:r w:rsidR="000D70A3" w:rsidRPr="00684190">
        <w:rPr>
          <w:rFonts w:asciiTheme="minorHAnsi" w:hAnsiTheme="minorHAnsi" w:cstheme="minorHAnsi"/>
          <w:color w:val="auto"/>
          <w:sz w:val="22"/>
          <w:szCs w:val="22"/>
        </w:rPr>
        <w:t>3</w:t>
      </w:r>
      <w:r w:rsidRPr="00684190">
        <w:rPr>
          <w:rFonts w:asciiTheme="minorHAnsi" w:hAnsiTheme="minorHAnsi" w:cstheme="minorHAnsi"/>
          <w:color w:val="auto"/>
          <w:sz w:val="22"/>
          <w:szCs w:val="22"/>
        </w:rPr>
        <w:t xml:space="preserve">, </w:t>
      </w:r>
      <w:r w:rsidR="00196311" w:rsidRPr="00684190">
        <w:rPr>
          <w:rFonts w:asciiTheme="minorHAnsi" w:hAnsiTheme="minorHAnsi" w:cstheme="minorHAnsi"/>
          <w:color w:val="auto"/>
          <w:sz w:val="22"/>
          <w:szCs w:val="22"/>
        </w:rPr>
        <w:t xml:space="preserve">w przypadku kompleksowych inwestycji </w:t>
      </w:r>
      <w:r w:rsidRPr="00684190">
        <w:rPr>
          <w:rFonts w:asciiTheme="minorHAnsi" w:hAnsiTheme="minorHAnsi" w:cstheme="minorHAnsi"/>
          <w:color w:val="auto"/>
          <w:sz w:val="22"/>
          <w:szCs w:val="22"/>
        </w:rPr>
        <w:t>Jedno</w:t>
      </w:r>
      <w:r w:rsidR="009B62F2" w:rsidRPr="00684190">
        <w:rPr>
          <w:rFonts w:asciiTheme="minorHAnsi" w:hAnsiTheme="minorHAnsi" w:cstheme="minorHAnsi"/>
          <w:color w:val="auto"/>
          <w:sz w:val="22"/>
          <w:szCs w:val="22"/>
        </w:rPr>
        <w:t>stkowa Pożyczka może finansować</w:t>
      </w:r>
      <w:r w:rsidR="008F24E3" w:rsidRPr="00684190">
        <w:rPr>
          <w:rFonts w:asciiTheme="minorHAnsi" w:hAnsiTheme="minorHAnsi" w:cstheme="minorHAnsi"/>
          <w:color w:val="auto"/>
          <w:sz w:val="22"/>
          <w:szCs w:val="22"/>
        </w:rPr>
        <w:t>:</w:t>
      </w:r>
    </w:p>
    <w:p w14:paraId="65B19ED8" w14:textId="1D0FB1C5" w:rsidR="00436B6D" w:rsidRPr="00684190" w:rsidRDefault="00F916F7" w:rsidP="005B64DD">
      <w:pPr>
        <w:pStyle w:val="Default"/>
        <w:numPr>
          <w:ilvl w:val="0"/>
          <w:numId w:val="42"/>
        </w:numPr>
        <w:spacing w:before="120" w:line="276" w:lineRule="auto"/>
        <w:ind w:left="851"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 xml:space="preserve">koszt Audytu Energetycznego (dalej: </w:t>
      </w:r>
      <w:r w:rsidR="00432FC7" w:rsidRPr="00684190">
        <w:rPr>
          <w:rFonts w:asciiTheme="minorHAnsi" w:hAnsiTheme="minorHAnsi" w:cstheme="minorHAnsi"/>
          <w:color w:val="auto"/>
          <w:sz w:val="22"/>
          <w:szCs w:val="22"/>
        </w:rPr>
        <w:t>A</w:t>
      </w:r>
      <w:r w:rsidRPr="00684190">
        <w:rPr>
          <w:rFonts w:asciiTheme="minorHAnsi" w:hAnsiTheme="minorHAnsi" w:cstheme="minorHAnsi"/>
          <w:color w:val="auto"/>
          <w:sz w:val="22"/>
          <w:szCs w:val="22"/>
        </w:rPr>
        <w:t>udyt)</w:t>
      </w:r>
      <w:r w:rsidR="00C71AC0" w:rsidRPr="00684190">
        <w:rPr>
          <w:rFonts w:asciiTheme="minorHAnsi" w:hAnsiTheme="minorHAnsi" w:cstheme="minorHAnsi"/>
          <w:color w:val="auto"/>
          <w:sz w:val="22"/>
          <w:szCs w:val="22"/>
        </w:rPr>
        <w:t>, ekspertyzy ornitologicznej/</w:t>
      </w:r>
      <w:proofErr w:type="spellStart"/>
      <w:r w:rsidR="00C71AC0" w:rsidRPr="00684190">
        <w:rPr>
          <w:rFonts w:asciiTheme="minorHAnsi" w:hAnsiTheme="minorHAnsi" w:cstheme="minorHAnsi"/>
          <w:color w:val="auto"/>
          <w:sz w:val="22"/>
          <w:szCs w:val="22"/>
        </w:rPr>
        <w:t>chiropterologicznej</w:t>
      </w:r>
      <w:proofErr w:type="spellEnd"/>
    </w:p>
    <w:p w14:paraId="64BCCE7F" w14:textId="3835737E" w:rsidR="00410848" w:rsidRPr="00684190" w:rsidRDefault="00410848" w:rsidP="005B64DD">
      <w:pPr>
        <w:pStyle w:val="Default"/>
        <w:numPr>
          <w:ilvl w:val="0"/>
          <w:numId w:val="42"/>
        </w:numPr>
        <w:spacing w:before="120" w:line="276" w:lineRule="auto"/>
        <w:ind w:left="851"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 xml:space="preserve">uzasadnione elementy niewynikające z </w:t>
      </w:r>
      <w:r w:rsidR="00432FC7" w:rsidRPr="00684190">
        <w:rPr>
          <w:rFonts w:asciiTheme="minorHAnsi" w:hAnsiTheme="minorHAnsi" w:cstheme="minorHAnsi"/>
          <w:color w:val="auto"/>
          <w:sz w:val="22"/>
          <w:szCs w:val="22"/>
        </w:rPr>
        <w:t>Audytu</w:t>
      </w:r>
      <w:r w:rsidRPr="00684190">
        <w:rPr>
          <w:rFonts w:asciiTheme="minorHAnsi" w:hAnsiTheme="minorHAnsi" w:cstheme="minorHAnsi"/>
          <w:color w:val="auto"/>
          <w:sz w:val="22"/>
          <w:szCs w:val="22"/>
        </w:rPr>
        <w:t>, jeżeli realizują szersze cele Europejskiego Zielonego Ładu, w ty</w:t>
      </w:r>
      <w:r w:rsidR="00316E43" w:rsidRPr="00684190">
        <w:rPr>
          <w:rFonts w:asciiTheme="minorHAnsi" w:hAnsiTheme="minorHAnsi" w:cstheme="minorHAnsi"/>
          <w:color w:val="auto"/>
          <w:sz w:val="22"/>
          <w:szCs w:val="22"/>
        </w:rPr>
        <w:t xml:space="preserve">m strategii </w:t>
      </w:r>
      <w:r w:rsidR="003B30EB" w:rsidRPr="00684190">
        <w:rPr>
          <w:rFonts w:asciiTheme="minorHAnsi" w:hAnsiTheme="minorHAnsi" w:cstheme="minorHAnsi"/>
          <w:color w:val="auto"/>
          <w:sz w:val="22"/>
          <w:szCs w:val="22"/>
        </w:rPr>
        <w:t>„</w:t>
      </w:r>
      <w:r w:rsidR="00316E43" w:rsidRPr="00684190">
        <w:rPr>
          <w:rFonts w:asciiTheme="minorHAnsi" w:hAnsiTheme="minorHAnsi" w:cstheme="minorHAnsi"/>
          <w:color w:val="auto"/>
          <w:sz w:val="22"/>
          <w:szCs w:val="22"/>
        </w:rPr>
        <w:t>Fali renowacji</w:t>
      </w:r>
      <w:r w:rsidR="003B30EB" w:rsidRPr="00684190">
        <w:rPr>
          <w:rFonts w:asciiTheme="minorHAnsi" w:hAnsiTheme="minorHAnsi" w:cstheme="minorHAnsi"/>
          <w:color w:val="auto"/>
          <w:sz w:val="22"/>
          <w:szCs w:val="22"/>
        </w:rPr>
        <w:t>”</w:t>
      </w:r>
      <w:r w:rsidRPr="00684190">
        <w:rPr>
          <w:rFonts w:asciiTheme="minorHAnsi" w:hAnsiTheme="minorHAnsi" w:cstheme="minorHAnsi"/>
          <w:color w:val="auto"/>
          <w:sz w:val="22"/>
          <w:szCs w:val="22"/>
        </w:rPr>
        <w:t>, jak rozwiązania przyczyniające się do zwiększenia powierzchni zielonych (np. zielone dachy, ściany), rozwiązania na rzecz GOZ,</w:t>
      </w:r>
      <w:r w:rsidR="003B30EB" w:rsidRPr="00684190">
        <w:rPr>
          <w:rFonts w:asciiTheme="minorHAnsi" w:hAnsiTheme="minorHAnsi" w:cstheme="minorHAnsi"/>
          <w:color w:val="auto"/>
          <w:sz w:val="22"/>
          <w:szCs w:val="22"/>
        </w:rPr>
        <w:t>; t</w:t>
      </w:r>
      <w:r w:rsidRPr="00684190">
        <w:rPr>
          <w:rFonts w:asciiTheme="minorHAnsi" w:hAnsiTheme="minorHAnsi" w:cstheme="minorHAnsi"/>
          <w:color w:val="auto"/>
          <w:sz w:val="22"/>
          <w:szCs w:val="22"/>
        </w:rPr>
        <w:t>am gdzie będzie to zasadne i możliwe stosowane mogą być rozwiązania w zakresie obiegu cyrkularnego, elementy sprzyjające adaptacji do zmian</w:t>
      </w:r>
      <w:r w:rsidR="00A7624E" w:rsidRPr="00684190">
        <w:rPr>
          <w:rFonts w:asciiTheme="minorHAnsi" w:hAnsiTheme="minorHAnsi" w:cstheme="minorHAnsi"/>
          <w:color w:val="auto"/>
          <w:sz w:val="22"/>
          <w:szCs w:val="22"/>
        </w:rPr>
        <w:t xml:space="preserve"> klimatu</w:t>
      </w:r>
      <w:r w:rsidRPr="00684190">
        <w:rPr>
          <w:rFonts w:asciiTheme="minorHAnsi" w:hAnsiTheme="minorHAnsi" w:cstheme="minorHAnsi"/>
          <w:color w:val="auto"/>
          <w:sz w:val="22"/>
          <w:szCs w:val="22"/>
        </w:rPr>
        <w:t>, efektywne</w:t>
      </w:r>
      <w:r w:rsidR="003B30EB" w:rsidRPr="00684190">
        <w:rPr>
          <w:rFonts w:asciiTheme="minorHAnsi" w:hAnsiTheme="minorHAnsi" w:cstheme="minorHAnsi"/>
          <w:color w:val="auto"/>
          <w:sz w:val="22"/>
          <w:szCs w:val="22"/>
        </w:rPr>
        <w:t xml:space="preserve"> wykorzystanie zasobów wodnych</w:t>
      </w:r>
    </w:p>
    <w:p w14:paraId="6718D67E" w14:textId="77777777" w:rsidR="003B30EB" w:rsidRPr="00684190" w:rsidRDefault="003B30EB" w:rsidP="005B64DD">
      <w:pPr>
        <w:pStyle w:val="Akapitzlist"/>
        <w:numPr>
          <w:ilvl w:val="0"/>
          <w:numId w:val="42"/>
        </w:numPr>
        <w:spacing w:before="120" w:after="0"/>
        <w:ind w:left="851" w:hanging="284"/>
        <w:contextualSpacing w:val="0"/>
        <w:rPr>
          <w:rFonts w:asciiTheme="minorHAnsi" w:hAnsiTheme="minorHAnsi" w:cstheme="minorHAnsi"/>
          <w:lang w:eastAsia="pl-PL"/>
        </w:rPr>
      </w:pPr>
      <w:r w:rsidRPr="00684190">
        <w:rPr>
          <w:rFonts w:asciiTheme="minorHAnsi" w:hAnsiTheme="minorHAnsi" w:cstheme="minorHAnsi"/>
          <w:lang w:eastAsia="pl-PL"/>
        </w:rPr>
        <w:t>koszty związane z zapewnieniem dostępności infrastruktury powiązane z zakresem Inwestycji Końcowej.</w:t>
      </w:r>
    </w:p>
    <w:p w14:paraId="418F70E8" w14:textId="08058351" w:rsidR="001327AA" w:rsidRPr="00684190" w:rsidRDefault="001327AA" w:rsidP="005B64DD">
      <w:pPr>
        <w:pStyle w:val="Default"/>
        <w:numPr>
          <w:ilvl w:val="0"/>
          <w:numId w:val="1"/>
        </w:numPr>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 xml:space="preserve">Wydatki na cele określone w pkt </w:t>
      </w:r>
      <w:r w:rsidR="00134872" w:rsidRPr="00684190">
        <w:rPr>
          <w:rFonts w:asciiTheme="minorHAnsi" w:hAnsiTheme="minorHAnsi" w:cstheme="minorHAnsi"/>
          <w:color w:val="auto"/>
          <w:sz w:val="22"/>
          <w:szCs w:val="22"/>
        </w:rPr>
        <w:t>2</w:t>
      </w:r>
      <w:r w:rsidRPr="00684190">
        <w:rPr>
          <w:rFonts w:asciiTheme="minorHAnsi" w:hAnsiTheme="minorHAnsi" w:cstheme="minorHAnsi"/>
          <w:color w:val="auto"/>
          <w:sz w:val="22"/>
          <w:szCs w:val="22"/>
        </w:rPr>
        <w:t xml:space="preserve"> stanowi</w:t>
      </w:r>
      <w:r w:rsidR="00AD7219" w:rsidRPr="00684190">
        <w:rPr>
          <w:rFonts w:asciiTheme="minorHAnsi" w:hAnsiTheme="minorHAnsi" w:cstheme="minorHAnsi"/>
          <w:color w:val="auto"/>
          <w:sz w:val="22"/>
          <w:szCs w:val="22"/>
        </w:rPr>
        <w:t>ą</w:t>
      </w:r>
      <w:r w:rsidRPr="00684190">
        <w:rPr>
          <w:rFonts w:asciiTheme="minorHAnsi" w:hAnsiTheme="minorHAnsi" w:cstheme="minorHAnsi"/>
          <w:color w:val="auto"/>
          <w:sz w:val="22"/>
          <w:szCs w:val="22"/>
        </w:rPr>
        <w:t xml:space="preserve"> jedynie dodatkowy element Inwestycji Końcowej </w:t>
      </w:r>
      <w:r w:rsidR="00AD7219" w:rsidRPr="00684190">
        <w:rPr>
          <w:rFonts w:asciiTheme="minorHAnsi" w:hAnsiTheme="minorHAnsi" w:cstheme="minorHAnsi"/>
          <w:color w:val="auto"/>
          <w:sz w:val="22"/>
          <w:szCs w:val="22"/>
        </w:rPr>
        <w:t>i</w:t>
      </w:r>
      <w:r w:rsidRPr="00684190">
        <w:rPr>
          <w:rFonts w:asciiTheme="minorHAnsi" w:hAnsiTheme="minorHAnsi" w:cstheme="minorHAnsi"/>
          <w:color w:val="auto"/>
          <w:sz w:val="22"/>
          <w:szCs w:val="22"/>
        </w:rPr>
        <w:t xml:space="preserve"> nie </w:t>
      </w:r>
      <w:r w:rsidR="00AD7219" w:rsidRPr="00684190">
        <w:rPr>
          <w:rFonts w:asciiTheme="minorHAnsi" w:hAnsiTheme="minorHAnsi" w:cstheme="minorHAnsi"/>
          <w:color w:val="auto"/>
          <w:sz w:val="22"/>
          <w:szCs w:val="22"/>
        </w:rPr>
        <w:t xml:space="preserve">mogą </w:t>
      </w:r>
      <w:r w:rsidR="00A7624E" w:rsidRPr="00684190">
        <w:rPr>
          <w:rFonts w:asciiTheme="minorHAnsi" w:hAnsiTheme="minorHAnsi" w:cstheme="minorHAnsi"/>
          <w:color w:val="auto"/>
          <w:sz w:val="22"/>
          <w:szCs w:val="22"/>
        </w:rPr>
        <w:t xml:space="preserve">łącznie </w:t>
      </w:r>
      <w:r w:rsidRPr="00684190">
        <w:rPr>
          <w:rFonts w:asciiTheme="minorHAnsi" w:hAnsiTheme="minorHAnsi" w:cstheme="minorHAnsi"/>
          <w:color w:val="auto"/>
          <w:sz w:val="22"/>
          <w:szCs w:val="22"/>
        </w:rPr>
        <w:t>przekr</w:t>
      </w:r>
      <w:r w:rsidR="00AD7219" w:rsidRPr="00684190">
        <w:rPr>
          <w:rFonts w:asciiTheme="minorHAnsi" w:hAnsiTheme="minorHAnsi" w:cstheme="minorHAnsi"/>
          <w:color w:val="auto"/>
          <w:sz w:val="22"/>
          <w:szCs w:val="22"/>
        </w:rPr>
        <w:t>o</w:t>
      </w:r>
      <w:r w:rsidRPr="00684190">
        <w:rPr>
          <w:rFonts w:asciiTheme="minorHAnsi" w:hAnsiTheme="minorHAnsi" w:cstheme="minorHAnsi"/>
          <w:color w:val="auto"/>
          <w:sz w:val="22"/>
          <w:szCs w:val="22"/>
        </w:rPr>
        <w:t>cz</w:t>
      </w:r>
      <w:r w:rsidR="00AD7219" w:rsidRPr="00684190">
        <w:rPr>
          <w:rFonts w:asciiTheme="minorHAnsi" w:hAnsiTheme="minorHAnsi" w:cstheme="minorHAnsi"/>
          <w:color w:val="auto"/>
          <w:sz w:val="22"/>
          <w:szCs w:val="22"/>
        </w:rPr>
        <w:t>yć</w:t>
      </w:r>
      <w:r w:rsidR="00D36DCE" w:rsidRPr="00684190">
        <w:rPr>
          <w:rFonts w:asciiTheme="minorHAnsi" w:hAnsiTheme="minorHAnsi" w:cstheme="minorHAnsi"/>
          <w:color w:val="auto"/>
          <w:sz w:val="22"/>
          <w:szCs w:val="22"/>
        </w:rPr>
        <w:t xml:space="preserve"> </w:t>
      </w:r>
      <w:r w:rsidR="003F189E" w:rsidRPr="00684190">
        <w:rPr>
          <w:rFonts w:asciiTheme="minorHAnsi" w:hAnsiTheme="minorHAnsi" w:cstheme="minorHAnsi"/>
          <w:color w:val="auto"/>
          <w:sz w:val="22"/>
          <w:szCs w:val="22"/>
        </w:rPr>
        <w:t xml:space="preserve">15% </w:t>
      </w:r>
      <w:r w:rsidRPr="00684190">
        <w:rPr>
          <w:rFonts w:asciiTheme="minorHAnsi" w:hAnsiTheme="minorHAnsi" w:cstheme="minorHAnsi"/>
          <w:color w:val="auto"/>
          <w:sz w:val="22"/>
          <w:szCs w:val="22"/>
        </w:rPr>
        <w:t>kwoty Jednostkowej Pożyczki</w:t>
      </w:r>
      <w:r w:rsidR="003B30EB" w:rsidRPr="00684190">
        <w:rPr>
          <w:rFonts w:asciiTheme="minorHAnsi" w:hAnsiTheme="minorHAnsi" w:cstheme="minorHAnsi"/>
          <w:color w:val="auto"/>
          <w:sz w:val="22"/>
          <w:szCs w:val="22"/>
        </w:rPr>
        <w:t xml:space="preserve">, przy czym wydatek na </w:t>
      </w:r>
      <w:r w:rsidR="008D1FAE" w:rsidRPr="00684190">
        <w:rPr>
          <w:rFonts w:asciiTheme="minorHAnsi" w:hAnsiTheme="minorHAnsi" w:cstheme="minorHAnsi"/>
          <w:color w:val="auto"/>
          <w:sz w:val="22"/>
          <w:szCs w:val="22"/>
        </w:rPr>
        <w:t>Audyt</w:t>
      </w:r>
      <w:r w:rsidR="003B30EB" w:rsidRPr="00684190">
        <w:rPr>
          <w:rFonts w:asciiTheme="minorHAnsi" w:hAnsiTheme="minorHAnsi" w:cstheme="minorHAnsi"/>
          <w:color w:val="auto"/>
          <w:sz w:val="22"/>
          <w:szCs w:val="22"/>
        </w:rPr>
        <w:t xml:space="preserve"> nie może przekroczyć 3% kwoty Jednostkowej Pożyczki</w:t>
      </w:r>
      <w:r w:rsidRPr="00684190">
        <w:rPr>
          <w:rFonts w:asciiTheme="minorHAnsi" w:hAnsiTheme="minorHAnsi" w:cstheme="minorHAnsi"/>
          <w:color w:val="auto"/>
          <w:sz w:val="22"/>
          <w:szCs w:val="22"/>
        </w:rPr>
        <w:t>.</w:t>
      </w:r>
    </w:p>
    <w:p w14:paraId="726F5972" w14:textId="46857508" w:rsidR="00F255D6" w:rsidRPr="00684190" w:rsidRDefault="00C319E8" w:rsidP="005B64DD">
      <w:pPr>
        <w:pStyle w:val="Default"/>
        <w:numPr>
          <w:ilvl w:val="0"/>
          <w:numId w:val="1"/>
        </w:numPr>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 xml:space="preserve">Jednostkowe Pożyczki udzielane są wyłącznie na te elementy Inwestycji Końcowej, które nie są fizycznie ukończone lub w pełni wdrożone na dzień podjęcia decyzji inwestycyjnej przez Partnera Finansującego. Pod pojęciem decyzji inwestycyjnej należy rozumieć okoliczności wskazane w sekcji 3.9.2 </w:t>
      </w:r>
      <w:r w:rsidR="009D3B6D" w:rsidRPr="00684190">
        <w:rPr>
          <w:rFonts w:asciiTheme="minorHAnsi" w:hAnsiTheme="minorHAnsi" w:cstheme="minorHAnsi"/>
          <w:color w:val="auto"/>
          <w:sz w:val="22"/>
          <w:szCs w:val="22"/>
        </w:rPr>
        <w:t>pkt</w:t>
      </w:r>
      <w:r w:rsidRPr="00684190">
        <w:rPr>
          <w:rFonts w:asciiTheme="minorHAnsi" w:hAnsiTheme="minorHAnsi" w:cstheme="minorHAnsi"/>
          <w:color w:val="auto"/>
          <w:sz w:val="22"/>
          <w:szCs w:val="22"/>
        </w:rPr>
        <w:t xml:space="preserve"> 2 Wytycznych dotyczących kwalifikowalności wydatków na lata 2021 - 2027.</w:t>
      </w:r>
    </w:p>
    <w:p w14:paraId="36D920D8" w14:textId="00009D41" w:rsidR="00C319E8" w:rsidRPr="00684190" w:rsidRDefault="00C319E8" w:rsidP="005B64DD">
      <w:pPr>
        <w:pStyle w:val="Default"/>
        <w:numPr>
          <w:ilvl w:val="0"/>
          <w:numId w:val="1"/>
        </w:numPr>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 xml:space="preserve">Dokumentacja aplikacyjna złożona przez podmiot ubiegający się o Jednostkową Pożyczkę, w tym Wniosek, </w:t>
      </w:r>
      <w:r w:rsidR="00F72D4C" w:rsidRPr="00684190">
        <w:rPr>
          <w:rFonts w:asciiTheme="minorHAnsi" w:hAnsiTheme="minorHAnsi" w:cstheme="minorHAnsi"/>
          <w:color w:val="auto"/>
          <w:sz w:val="22"/>
          <w:szCs w:val="22"/>
        </w:rPr>
        <w:t xml:space="preserve">Audyt </w:t>
      </w:r>
      <w:r w:rsidRPr="00684190">
        <w:rPr>
          <w:rFonts w:asciiTheme="minorHAnsi" w:hAnsiTheme="minorHAnsi" w:cstheme="minorHAnsi"/>
          <w:color w:val="auto"/>
          <w:sz w:val="22"/>
          <w:szCs w:val="22"/>
        </w:rPr>
        <w:t xml:space="preserve">lub </w:t>
      </w:r>
      <w:r w:rsidR="00D24897" w:rsidRPr="00684190">
        <w:rPr>
          <w:rFonts w:asciiTheme="minorHAnsi" w:hAnsiTheme="minorHAnsi" w:cstheme="minorHAnsi"/>
          <w:color w:val="auto"/>
          <w:sz w:val="22"/>
          <w:szCs w:val="22"/>
        </w:rPr>
        <w:t xml:space="preserve">inne </w:t>
      </w:r>
      <w:r w:rsidRPr="00684190">
        <w:rPr>
          <w:rFonts w:asciiTheme="minorHAnsi" w:hAnsiTheme="minorHAnsi" w:cstheme="minorHAnsi"/>
          <w:color w:val="auto"/>
          <w:sz w:val="22"/>
          <w:szCs w:val="22"/>
        </w:rPr>
        <w:t>dokument</w:t>
      </w:r>
      <w:r w:rsidR="00D24897" w:rsidRPr="00684190">
        <w:rPr>
          <w:rFonts w:asciiTheme="minorHAnsi" w:hAnsiTheme="minorHAnsi" w:cstheme="minorHAnsi"/>
          <w:color w:val="auto"/>
          <w:sz w:val="22"/>
          <w:szCs w:val="22"/>
        </w:rPr>
        <w:t>y</w:t>
      </w:r>
      <w:r w:rsidRPr="00684190">
        <w:rPr>
          <w:rFonts w:asciiTheme="minorHAnsi" w:hAnsiTheme="minorHAnsi" w:cstheme="minorHAnsi"/>
          <w:color w:val="auto"/>
          <w:sz w:val="22"/>
          <w:szCs w:val="22"/>
        </w:rPr>
        <w:t xml:space="preserve"> </w:t>
      </w:r>
      <w:r w:rsidR="00D24897" w:rsidRPr="00684190">
        <w:rPr>
          <w:rFonts w:asciiTheme="minorHAnsi" w:hAnsiTheme="minorHAnsi" w:cstheme="minorHAnsi"/>
          <w:color w:val="auto"/>
          <w:sz w:val="22"/>
          <w:szCs w:val="22"/>
        </w:rPr>
        <w:t>składane wraz z Wnioskiem</w:t>
      </w:r>
      <w:r w:rsidRPr="00684190">
        <w:rPr>
          <w:rFonts w:asciiTheme="minorHAnsi" w:hAnsiTheme="minorHAnsi" w:cstheme="minorHAnsi"/>
          <w:color w:val="auto"/>
          <w:sz w:val="22"/>
          <w:szCs w:val="22"/>
        </w:rPr>
        <w:t xml:space="preserve">, powinna jednoznacznie wskazywać na </w:t>
      </w:r>
      <w:r w:rsidR="00D24897" w:rsidRPr="00684190">
        <w:rPr>
          <w:rFonts w:asciiTheme="minorHAnsi" w:hAnsiTheme="minorHAnsi" w:cstheme="minorHAnsi"/>
          <w:color w:val="auto"/>
          <w:sz w:val="22"/>
          <w:szCs w:val="22"/>
        </w:rPr>
        <w:t>T</w:t>
      </w:r>
      <w:r w:rsidRPr="00684190">
        <w:rPr>
          <w:rFonts w:asciiTheme="minorHAnsi" w:hAnsiTheme="minorHAnsi" w:cstheme="minorHAnsi"/>
          <w:color w:val="auto"/>
          <w:sz w:val="22"/>
          <w:szCs w:val="22"/>
        </w:rPr>
        <w:t xml:space="preserve">yp Inwestycji Końcowej będący przedmiotem finansowania oraz powinna być przygotowana w sposób umożliwiający Partnerowi Finansującemu dokonanie oceny zgodności przedmiotu i celu planowanej Inwestycji Końcowej z tym </w:t>
      </w:r>
      <w:r w:rsidR="00D24897" w:rsidRPr="00684190">
        <w:rPr>
          <w:rFonts w:asciiTheme="minorHAnsi" w:hAnsiTheme="minorHAnsi" w:cstheme="minorHAnsi"/>
          <w:color w:val="auto"/>
          <w:sz w:val="22"/>
          <w:szCs w:val="22"/>
        </w:rPr>
        <w:t>T</w:t>
      </w:r>
      <w:r w:rsidRPr="00684190">
        <w:rPr>
          <w:rFonts w:asciiTheme="minorHAnsi" w:hAnsiTheme="minorHAnsi" w:cstheme="minorHAnsi"/>
          <w:color w:val="auto"/>
          <w:sz w:val="22"/>
          <w:szCs w:val="22"/>
        </w:rPr>
        <w:t>ypem</w:t>
      </w:r>
      <w:r w:rsidR="00D24897" w:rsidRPr="00684190">
        <w:rPr>
          <w:rFonts w:asciiTheme="minorHAnsi" w:hAnsiTheme="minorHAnsi" w:cstheme="minorHAnsi"/>
          <w:color w:val="auto"/>
          <w:sz w:val="22"/>
          <w:szCs w:val="22"/>
        </w:rPr>
        <w:t xml:space="preserve"> Inwestycji Ko</w:t>
      </w:r>
      <w:r w:rsidR="00402370" w:rsidRPr="00684190">
        <w:rPr>
          <w:rFonts w:asciiTheme="minorHAnsi" w:hAnsiTheme="minorHAnsi" w:cstheme="minorHAnsi"/>
          <w:color w:val="auto"/>
          <w:sz w:val="22"/>
          <w:szCs w:val="22"/>
        </w:rPr>
        <w:t>ń</w:t>
      </w:r>
      <w:r w:rsidR="00D24897" w:rsidRPr="00684190">
        <w:rPr>
          <w:rFonts w:asciiTheme="minorHAnsi" w:hAnsiTheme="minorHAnsi" w:cstheme="minorHAnsi"/>
          <w:color w:val="auto"/>
          <w:sz w:val="22"/>
          <w:szCs w:val="22"/>
        </w:rPr>
        <w:t>cowej</w:t>
      </w:r>
      <w:r w:rsidRPr="00684190">
        <w:rPr>
          <w:rFonts w:asciiTheme="minorHAnsi" w:hAnsiTheme="minorHAnsi" w:cstheme="minorHAnsi"/>
          <w:color w:val="auto"/>
          <w:sz w:val="22"/>
          <w:szCs w:val="22"/>
        </w:rPr>
        <w:t>.</w:t>
      </w:r>
    </w:p>
    <w:p w14:paraId="7F7E6E07" w14:textId="77777777" w:rsidR="00C319E8" w:rsidRPr="00684190" w:rsidRDefault="00C319E8" w:rsidP="005B64DD">
      <w:pPr>
        <w:pStyle w:val="Default"/>
        <w:numPr>
          <w:ilvl w:val="0"/>
          <w:numId w:val="1"/>
        </w:numPr>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 xml:space="preserve">Jednostkowa Pożyczka może finansować do 100% wydatków w ramach Inwestycji Końcowej. Wydatki niekwalifikowalne w ramach Inwestycji Końcowej, tj. takie które nie mogą być finansowane z Jednostkowej Pożyczki, są finansowane przez Ostatecznego Odbiorcę. </w:t>
      </w:r>
    </w:p>
    <w:p w14:paraId="304FED8B" w14:textId="0DCEAF70" w:rsidR="00C319E8" w:rsidRPr="00684190" w:rsidRDefault="00C319E8" w:rsidP="005B64DD">
      <w:pPr>
        <w:pStyle w:val="Default"/>
        <w:numPr>
          <w:ilvl w:val="0"/>
          <w:numId w:val="1"/>
        </w:numPr>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lastRenderedPageBreak/>
        <w:t xml:space="preserve">Jednostkowa Pożyczka finansuje wydatki w kwotach brutto, tj. z podatkiem VAT, z zastrzeżeniem pkt </w:t>
      </w:r>
      <w:r w:rsidR="00065FB1" w:rsidRPr="00684190">
        <w:rPr>
          <w:rFonts w:asciiTheme="minorHAnsi" w:hAnsiTheme="minorHAnsi" w:cstheme="minorHAnsi"/>
          <w:color w:val="auto"/>
          <w:sz w:val="22"/>
          <w:szCs w:val="22"/>
        </w:rPr>
        <w:t>8</w:t>
      </w:r>
      <w:r w:rsidR="00EA4D6F" w:rsidRPr="00684190">
        <w:rPr>
          <w:rFonts w:asciiTheme="minorHAnsi" w:hAnsiTheme="minorHAnsi" w:cstheme="minorHAnsi"/>
          <w:color w:val="auto"/>
          <w:sz w:val="22"/>
          <w:szCs w:val="22"/>
        </w:rPr>
        <w:t xml:space="preserve"> </w:t>
      </w:r>
      <w:r w:rsidRPr="00684190">
        <w:rPr>
          <w:rFonts w:asciiTheme="minorHAnsi" w:hAnsiTheme="minorHAnsi" w:cstheme="minorHAnsi"/>
          <w:color w:val="auto"/>
          <w:sz w:val="22"/>
          <w:szCs w:val="22"/>
        </w:rPr>
        <w:t xml:space="preserve">i </w:t>
      </w:r>
      <w:r w:rsidR="00065FB1" w:rsidRPr="00684190">
        <w:rPr>
          <w:rFonts w:asciiTheme="minorHAnsi" w:hAnsiTheme="minorHAnsi" w:cstheme="minorHAnsi"/>
          <w:color w:val="auto"/>
          <w:sz w:val="22"/>
          <w:szCs w:val="22"/>
        </w:rPr>
        <w:t>9</w:t>
      </w:r>
      <w:r w:rsidRPr="00684190">
        <w:rPr>
          <w:rFonts w:asciiTheme="minorHAnsi" w:hAnsiTheme="minorHAnsi" w:cstheme="minorHAnsi"/>
          <w:color w:val="auto"/>
          <w:sz w:val="22"/>
          <w:szCs w:val="22"/>
        </w:rPr>
        <w:t>.</w:t>
      </w:r>
    </w:p>
    <w:p w14:paraId="0558AFA9" w14:textId="77777777" w:rsidR="00C319E8" w:rsidRPr="00684190" w:rsidRDefault="00C319E8" w:rsidP="005B64DD">
      <w:pPr>
        <w:pStyle w:val="Default"/>
        <w:numPr>
          <w:ilvl w:val="0"/>
          <w:numId w:val="1"/>
        </w:numPr>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Dopuszczalność finansowania podatku VAT w ramach Jednostkowych Pożyczek może podlegać dodatkowym ograniczeniom wynikającym z zasad udzielania pomocy publicznej.</w:t>
      </w:r>
    </w:p>
    <w:p w14:paraId="3657A8C8" w14:textId="77777777" w:rsidR="00C319E8" w:rsidRPr="00684190" w:rsidRDefault="00C319E8" w:rsidP="005B64DD">
      <w:pPr>
        <w:pStyle w:val="Default"/>
        <w:numPr>
          <w:ilvl w:val="0"/>
          <w:numId w:val="1"/>
        </w:numPr>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W przypadku łączenia Jednostkowych Pożyczek z innym finansowaniem, należy przestrzegać zasad określonych w sekcji 3.9.3 Wytycznych dotyczących kwalifikowalności wydatków na lata 2021 - 2027 oraz właściwych przepisów dotyczących pomocy publicznej.</w:t>
      </w:r>
    </w:p>
    <w:p w14:paraId="399B5D8C" w14:textId="073FC87E" w:rsidR="005601E6" w:rsidRPr="00684190" w:rsidRDefault="005601E6" w:rsidP="005B64DD">
      <w:pPr>
        <w:pStyle w:val="Nagwek1"/>
        <w:spacing w:before="120"/>
        <w:rPr>
          <w:rFonts w:asciiTheme="minorHAnsi" w:hAnsiTheme="minorHAnsi" w:cstheme="minorHAnsi"/>
          <w:color w:val="auto"/>
        </w:rPr>
      </w:pPr>
      <w:r w:rsidRPr="00684190">
        <w:rPr>
          <w:rFonts w:asciiTheme="minorHAnsi" w:hAnsiTheme="minorHAnsi" w:cstheme="minorHAnsi"/>
          <w:color w:val="auto"/>
        </w:rPr>
        <w:t xml:space="preserve">Część </w:t>
      </w:r>
      <w:r w:rsidR="001873BA" w:rsidRPr="00684190">
        <w:rPr>
          <w:rFonts w:asciiTheme="minorHAnsi" w:hAnsiTheme="minorHAnsi" w:cstheme="minorHAnsi"/>
          <w:color w:val="auto"/>
        </w:rPr>
        <w:t>I</w:t>
      </w:r>
      <w:r w:rsidRPr="00684190">
        <w:rPr>
          <w:rFonts w:asciiTheme="minorHAnsi" w:hAnsiTheme="minorHAnsi" w:cstheme="minorHAnsi"/>
          <w:color w:val="auto"/>
        </w:rPr>
        <w:t xml:space="preserve">V Wymogi dotyczące Inwestycji Końcowych </w:t>
      </w:r>
    </w:p>
    <w:p w14:paraId="1D1B26C0" w14:textId="554966A6" w:rsidR="009F238E" w:rsidRPr="00684190" w:rsidRDefault="009F238E" w:rsidP="005B64DD">
      <w:pPr>
        <w:pStyle w:val="Akapitzlist"/>
        <w:numPr>
          <w:ilvl w:val="0"/>
          <w:numId w:val="16"/>
        </w:numPr>
        <w:spacing w:before="120" w:after="0"/>
        <w:ind w:left="284" w:hanging="284"/>
        <w:contextualSpacing w:val="0"/>
        <w:jc w:val="both"/>
        <w:rPr>
          <w:rFonts w:asciiTheme="minorHAnsi" w:hAnsiTheme="minorHAnsi" w:cstheme="minorHAnsi"/>
          <w:lang w:eastAsia="pl-PL"/>
        </w:rPr>
      </w:pPr>
      <w:bookmarkStart w:id="2" w:name="_Hlk170457931"/>
      <w:r w:rsidRPr="00684190">
        <w:rPr>
          <w:rFonts w:asciiTheme="minorHAnsi" w:hAnsiTheme="minorHAnsi" w:cstheme="minorHAnsi"/>
          <w:lang w:eastAsia="pl-PL"/>
        </w:rPr>
        <w:t xml:space="preserve">Inwestycje Końcowe muszą być realizowane wyłącznie na terenie województwa </w:t>
      </w:r>
      <w:r w:rsidR="00864B39" w:rsidRPr="00684190">
        <w:rPr>
          <w:rFonts w:asciiTheme="minorHAnsi" w:hAnsiTheme="minorHAnsi" w:cstheme="minorHAnsi"/>
          <w:lang w:eastAsia="pl-PL"/>
        </w:rPr>
        <w:t>świętokrzyskiego</w:t>
      </w:r>
      <w:r w:rsidRPr="00684190">
        <w:rPr>
          <w:rFonts w:asciiTheme="minorHAnsi" w:hAnsiTheme="minorHAnsi" w:cstheme="minorHAnsi"/>
          <w:lang w:eastAsia="pl-PL"/>
        </w:rPr>
        <w:t>.</w:t>
      </w:r>
    </w:p>
    <w:bookmarkEnd w:id="2"/>
    <w:p w14:paraId="35AA49C6" w14:textId="19358450" w:rsidR="009F238E" w:rsidRPr="00684190" w:rsidRDefault="009F238E" w:rsidP="005B64DD">
      <w:pPr>
        <w:pStyle w:val="Akapitzlist"/>
        <w:numPr>
          <w:ilvl w:val="0"/>
          <w:numId w:val="16"/>
        </w:numPr>
        <w:spacing w:before="120" w:after="0"/>
        <w:ind w:left="284"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Wszystkie planowane w ramach Inwestycji Końcowej działania, z zastrzeżeniem wydatków określonych w C</w:t>
      </w:r>
      <w:r w:rsidR="003A2B92" w:rsidRPr="00684190">
        <w:rPr>
          <w:rFonts w:asciiTheme="minorHAnsi" w:hAnsiTheme="minorHAnsi" w:cstheme="minorHAnsi"/>
          <w:lang w:eastAsia="pl-PL"/>
        </w:rPr>
        <w:t>zęści I</w:t>
      </w:r>
      <w:r w:rsidR="001873BA" w:rsidRPr="00684190">
        <w:rPr>
          <w:rFonts w:asciiTheme="minorHAnsi" w:hAnsiTheme="minorHAnsi" w:cstheme="minorHAnsi"/>
          <w:lang w:eastAsia="pl-PL"/>
        </w:rPr>
        <w:t>II</w:t>
      </w:r>
      <w:r w:rsidR="003A2B92" w:rsidRPr="00684190">
        <w:rPr>
          <w:rFonts w:asciiTheme="minorHAnsi" w:hAnsiTheme="minorHAnsi" w:cstheme="minorHAnsi"/>
          <w:lang w:eastAsia="pl-PL"/>
        </w:rPr>
        <w:t>,</w:t>
      </w:r>
      <w:r w:rsidRPr="00684190">
        <w:rPr>
          <w:rFonts w:asciiTheme="minorHAnsi" w:hAnsiTheme="minorHAnsi" w:cstheme="minorHAnsi"/>
          <w:lang w:eastAsia="pl-PL"/>
        </w:rPr>
        <w:t xml:space="preserve"> pkt</w:t>
      </w:r>
      <w:r w:rsidR="003A2B92" w:rsidRPr="00684190">
        <w:rPr>
          <w:rFonts w:asciiTheme="minorHAnsi" w:hAnsiTheme="minorHAnsi" w:cstheme="minorHAnsi"/>
          <w:lang w:eastAsia="pl-PL"/>
        </w:rPr>
        <w:t xml:space="preserve"> 2.</w:t>
      </w:r>
      <w:r w:rsidRPr="00684190">
        <w:rPr>
          <w:rFonts w:asciiTheme="minorHAnsi" w:hAnsiTheme="minorHAnsi" w:cstheme="minorHAnsi"/>
          <w:lang w:eastAsia="pl-PL"/>
        </w:rPr>
        <w:t>, muszą wynikać ze zidentyfikowanych potrzeb wskazanych w Audycie, który musi zostać opracowany i przedstawiony wraz z Wnioskiem przy ubieganiu się o Jednostkową Pożyczkę</w:t>
      </w:r>
      <w:r w:rsidR="00910610" w:rsidRPr="00684190">
        <w:rPr>
          <w:rFonts w:asciiTheme="minorHAnsi" w:hAnsiTheme="minorHAnsi" w:cstheme="minorHAnsi"/>
          <w:lang w:eastAsia="pl-PL"/>
        </w:rPr>
        <w:t>.</w:t>
      </w:r>
    </w:p>
    <w:p w14:paraId="60DD0958" w14:textId="66B7F82F" w:rsidR="009F238E" w:rsidRPr="00684190" w:rsidRDefault="009F238E" w:rsidP="005B64DD">
      <w:pPr>
        <w:pStyle w:val="Akapitzlist"/>
        <w:numPr>
          <w:ilvl w:val="0"/>
          <w:numId w:val="16"/>
        </w:numPr>
        <w:spacing w:before="120" w:after="0"/>
        <w:ind w:left="284" w:hanging="284"/>
        <w:contextualSpacing w:val="0"/>
        <w:rPr>
          <w:rFonts w:asciiTheme="minorHAnsi" w:hAnsiTheme="minorHAnsi" w:cstheme="minorHAnsi"/>
          <w:lang w:eastAsia="pl-PL"/>
        </w:rPr>
      </w:pPr>
      <w:bookmarkStart w:id="3" w:name="_Hlk170458582"/>
      <w:r w:rsidRPr="00684190">
        <w:rPr>
          <w:rFonts w:asciiTheme="minorHAnsi" w:hAnsiTheme="minorHAnsi" w:cstheme="minorHAnsi"/>
          <w:lang w:eastAsia="pl-PL"/>
        </w:rPr>
        <w:t>Ostateczny Odbiorca we Wniosku deklaruje, na podstawie opracowanego Audytu, poziom oszczędności energii pierwotnej jaki zamierza osiągnąć w wyniku realizacji Inwestycji Końcowej.</w:t>
      </w:r>
    </w:p>
    <w:p w14:paraId="1ABC5BB3" w14:textId="41A7D246" w:rsidR="009F238E" w:rsidRPr="00684190" w:rsidRDefault="009F238E" w:rsidP="005B64DD">
      <w:pPr>
        <w:pStyle w:val="Akapitzlist"/>
        <w:numPr>
          <w:ilvl w:val="0"/>
          <w:numId w:val="16"/>
        </w:numPr>
        <w:spacing w:before="120" w:after="0"/>
        <w:ind w:left="284" w:hanging="284"/>
        <w:contextualSpacing w:val="0"/>
        <w:rPr>
          <w:rFonts w:asciiTheme="minorHAnsi" w:hAnsiTheme="minorHAnsi" w:cstheme="minorHAnsi"/>
          <w:lang w:eastAsia="pl-PL"/>
        </w:rPr>
      </w:pPr>
      <w:r w:rsidRPr="00684190">
        <w:rPr>
          <w:rFonts w:asciiTheme="minorHAnsi" w:hAnsiTheme="minorHAnsi" w:cstheme="minorHAnsi"/>
          <w:lang w:eastAsia="pl-PL"/>
        </w:rPr>
        <w:t>Warunkiem uzyskania Jednostkowej Pożyczki będzie potwierdzenie na podstawie Audytu, że różnica zapotrzebowania na energię pierwotną po</w:t>
      </w:r>
      <w:r w:rsidR="00E5056C" w:rsidRPr="00684190">
        <w:rPr>
          <w:rFonts w:asciiTheme="minorHAnsi" w:hAnsiTheme="minorHAnsi" w:cstheme="minorHAnsi"/>
          <w:lang w:eastAsia="pl-PL"/>
        </w:rPr>
        <w:t xml:space="preserve"> inwestycji</w:t>
      </w:r>
      <w:r w:rsidRPr="00684190">
        <w:rPr>
          <w:rFonts w:asciiTheme="minorHAnsi" w:hAnsiTheme="minorHAnsi" w:cstheme="minorHAnsi"/>
          <w:lang w:eastAsia="pl-PL"/>
        </w:rPr>
        <w:t xml:space="preserve"> i przed inwestycją dla Inwestycji Końcowej wyniesie minimum 30%.</w:t>
      </w:r>
    </w:p>
    <w:p w14:paraId="471696A0" w14:textId="6FE3CED9" w:rsidR="009F238E" w:rsidRPr="00684190" w:rsidRDefault="009F238E" w:rsidP="005B64DD">
      <w:pPr>
        <w:pStyle w:val="Akapitzlist"/>
        <w:numPr>
          <w:ilvl w:val="0"/>
          <w:numId w:val="16"/>
        </w:numPr>
        <w:spacing w:before="120" w:after="0"/>
        <w:ind w:left="284" w:hanging="284"/>
        <w:contextualSpacing w:val="0"/>
        <w:rPr>
          <w:rFonts w:asciiTheme="minorHAnsi" w:hAnsiTheme="minorHAnsi" w:cstheme="minorHAnsi"/>
          <w:lang w:eastAsia="pl-PL"/>
        </w:rPr>
      </w:pPr>
      <w:r w:rsidRPr="00684190">
        <w:rPr>
          <w:rFonts w:asciiTheme="minorHAnsi" w:hAnsiTheme="minorHAnsi" w:cstheme="minorHAnsi"/>
        </w:rPr>
        <w:t>W przypadku, gdy oszczędność energii pierwotnej po przeprowadzeniu Inwestycji Końcowej będzie niższa niż 30% (wyjątek stanowią</w:t>
      </w:r>
      <w:r w:rsidR="00C3327E" w:rsidRPr="00684190">
        <w:rPr>
          <w:rFonts w:asciiTheme="minorHAnsi" w:hAnsiTheme="minorHAnsi" w:cstheme="minorHAnsi"/>
        </w:rPr>
        <w:t xml:space="preserve"> budynki</w:t>
      </w:r>
      <w:r w:rsidRPr="00684190">
        <w:rPr>
          <w:rFonts w:asciiTheme="minorHAnsi" w:hAnsiTheme="minorHAnsi" w:cstheme="minorHAnsi"/>
        </w:rPr>
        <w:t xml:space="preserve"> </w:t>
      </w:r>
      <w:r w:rsidR="00BC5257" w:rsidRPr="00684190">
        <w:rPr>
          <w:rFonts w:asciiTheme="minorHAnsi" w:hAnsiTheme="minorHAnsi" w:cstheme="minorHAnsi"/>
        </w:rPr>
        <w:t>zabytk</w:t>
      </w:r>
      <w:r w:rsidR="00C3327E" w:rsidRPr="00684190">
        <w:rPr>
          <w:rFonts w:asciiTheme="minorHAnsi" w:hAnsiTheme="minorHAnsi" w:cstheme="minorHAnsi"/>
        </w:rPr>
        <w:t>owe</w:t>
      </w:r>
      <w:r w:rsidRPr="00684190">
        <w:rPr>
          <w:rFonts w:asciiTheme="minorHAnsi" w:hAnsiTheme="minorHAnsi" w:cstheme="minorHAnsi"/>
        </w:rPr>
        <w:t>), może to skutkować uznaniem wydatków jako niekwalifikowalne i wiązać się z obowiązkiem zwrotu odpowiedniej części lub całości kwoty Jednostkowej Pożyczki.</w:t>
      </w:r>
    </w:p>
    <w:p w14:paraId="2FA5666A" w14:textId="77777777" w:rsidR="007E3887" w:rsidRPr="00684190" w:rsidRDefault="007E3887" w:rsidP="007E3887">
      <w:pPr>
        <w:pStyle w:val="Akapitzlist"/>
        <w:numPr>
          <w:ilvl w:val="0"/>
          <w:numId w:val="16"/>
        </w:numPr>
        <w:spacing w:before="120" w:after="0"/>
        <w:ind w:left="284" w:hanging="284"/>
        <w:contextualSpacing w:val="0"/>
        <w:rPr>
          <w:rFonts w:asciiTheme="minorHAnsi" w:hAnsiTheme="minorHAnsi" w:cstheme="minorHAnsi"/>
          <w:lang w:eastAsia="pl-PL"/>
        </w:rPr>
      </w:pPr>
      <w:r w:rsidRPr="00684190">
        <w:rPr>
          <w:rFonts w:asciiTheme="minorHAnsi" w:hAnsiTheme="minorHAnsi" w:cstheme="minorHAnsi"/>
          <w:lang w:eastAsia="pl-PL"/>
        </w:rPr>
        <w:t xml:space="preserve">W ramach kompleksowej modernizacji energetycznej budynku Jednostkowa Pożyczka może finansować dodatkowo wymianę źródeł ciepła, jeżeli spełnione będą następujące warunki: </w:t>
      </w:r>
    </w:p>
    <w:p w14:paraId="7756CA58" w14:textId="77777777" w:rsidR="007E3887" w:rsidRPr="00684190" w:rsidRDefault="007E3887" w:rsidP="009A33CC">
      <w:pPr>
        <w:pStyle w:val="Akapitzlist"/>
        <w:spacing w:before="120" w:after="120"/>
        <w:ind w:left="851"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1) wymiana źródła ciepła uwzględniona będzie w Audycie Energetycznym,</w:t>
      </w:r>
    </w:p>
    <w:p w14:paraId="579D8A01" w14:textId="77777777" w:rsidR="007E3887" w:rsidRPr="00684190" w:rsidRDefault="007E3887" w:rsidP="009A33CC">
      <w:pPr>
        <w:pStyle w:val="Akapitzlist"/>
        <w:spacing w:before="120" w:after="120"/>
        <w:ind w:left="851"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2) wytworzona w finansowanym z Jednostkowej Pożyczki nowym źródle ciepła energia przeznaczona będzie na potrzeby budynku,</w:t>
      </w:r>
    </w:p>
    <w:p w14:paraId="51C421E7" w14:textId="77777777" w:rsidR="007E3887" w:rsidRPr="00684190" w:rsidRDefault="007E3887" w:rsidP="009A33CC">
      <w:pPr>
        <w:pStyle w:val="Akapitzlist"/>
        <w:spacing w:before="120" w:after="120"/>
        <w:ind w:left="851"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3) w pierwszej kolejności nowym źródłem ciepła będzie ciepło sieciowe</w:t>
      </w:r>
      <w:r w:rsidRPr="00684190">
        <w:rPr>
          <w:rFonts w:asciiTheme="minorHAnsi" w:hAnsiTheme="minorHAnsi" w:cstheme="minorHAnsi"/>
          <w:vertAlign w:val="superscript"/>
          <w:lang w:eastAsia="pl-PL"/>
        </w:rPr>
        <w:footnoteReference w:id="3"/>
      </w:r>
      <w:r w:rsidRPr="00684190">
        <w:rPr>
          <w:rFonts w:asciiTheme="minorHAnsi" w:hAnsiTheme="minorHAnsi" w:cstheme="minorHAnsi"/>
          <w:lang w:eastAsia="pl-PL"/>
        </w:rPr>
        <w:t>, w drugiej źródła wykorzystujące OZE</w:t>
      </w:r>
      <w:r w:rsidRPr="00684190">
        <w:rPr>
          <w:rStyle w:val="Odwoanieprzypisudolnego"/>
          <w:rFonts w:asciiTheme="minorHAnsi" w:hAnsiTheme="minorHAnsi" w:cstheme="minorHAnsi"/>
          <w:lang w:eastAsia="pl-PL"/>
        </w:rPr>
        <w:footnoteReference w:id="4"/>
      </w:r>
      <w:r w:rsidRPr="00684190">
        <w:rPr>
          <w:rFonts w:asciiTheme="minorHAnsi" w:hAnsiTheme="minorHAnsi" w:cstheme="minorHAnsi"/>
          <w:lang w:eastAsia="pl-PL"/>
        </w:rPr>
        <w:t xml:space="preserve">, </w:t>
      </w:r>
    </w:p>
    <w:p w14:paraId="6C557714" w14:textId="77777777" w:rsidR="007E3887" w:rsidRPr="00684190" w:rsidRDefault="007E3887" w:rsidP="009A33CC">
      <w:pPr>
        <w:spacing w:before="120"/>
        <w:ind w:left="851" w:hanging="284"/>
        <w:jc w:val="both"/>
        <w:rPr>
          <w:lang w:eastAsia="pl-PL"/>
        </w:rPr>
      </w:pPr>
      <w:r w:rsidRPr="00684190">
        <w:rPr>
          <w:lang w:eastAsia="pl-PL"/>
        </w:rPr>
        <w:t>4) dopiero jeśli technicznie niemożliwe lub ekonomicznie nieuzasadnione będzie zastosowanie jako nowe źródła ciepła źródeł określonych w pkt 3), możliwe będzie zastosowanie jako nowe źródło ciepła finansowane z Jednostkowej Pożyczki źródeł ciepła wykorzystujących gaz ziemny</w:t>
      </w:r>
      <w:r w:rsidRPr="00684190">
        <w:rPr>
          <w:rStyle w:val="Odwoanieprzypisudolnego"/>
          <w:lang w:eastAsia="pl-PL"/>
        </w:rPr>
        <w:footnoteReference w:id="5"/>
      </w:r>
      <w:r w:rsidRPr="00684190">
        <w:rPr>
          <w:lang w:eastAsia="pl-PL"/>
        </w:rPr>
        <w:t>,</w:t>
      </w:r>
    </w:p>
    <w:p w14:paraId="25C62424" w14:textId="77777777" w:rsidR="007E3887" w:rsidRPr="00684190" w:rsidRDefault="007E3887" w:rsidP="007E3887">
      <w:pPr>
        <w:ind w:left="710"/>
        <w:jc w:val="both"/>
        <w:rPr>
          <w:lang w:eastAsia="pl-PL"/>
        </w:rPr>
      </w:pPr>
      <w:r w:rsidRPr="00684190">
        <w:rPr>
          <w:lang w:eastAsia="pl-PL"/>
        </w:rPr>
        <w:t>z zastrzeżeniem pkt. 7.</w:t>
      </w:r>
    </w:p>
    <w:p w14:paraId="3877EB80" w14:textId="77777777" w:rsidR="007E3887" w:rsidRPr="00684190" w:rsidRDefault="007E3887" w:rsidP="007E3887">
      <w:pPr>
        <w:pStyle w:val="Akapitzlist"/>
        <w:numPr>
          <w:ilvl w:val="0"/>
          <w:numId w:val="16"/>
        </w:numPr>
        <w:spacing w:after="120" w:line="23" w:lineRule="atLeast"/>
        <w:jc w:val="both"/>
        <w:rPr>
          <w:rFonts w:asciiTheme="minorHAnsi" w:hAnsiTheme="minorHAnsi" w:cstheme="minorHAnsi"/>
          <w:lang w:eastAsia="pl-PL"/>
        </w:rPr>
      </w:pPr>
      <w:r w:rsidRPr="00684190">
        <w:rPr>
          <w:rFonts w:asciiTheme="minorHAnsi" w:hAnsiTheme="minorHAnsi" w:cstheme="minorHAnsi"/>
          <w:lang w:eastAsia="pl-PL"/>
        </w:rPr>
        <w:t>Finansowane z Jednostkowej Pożyczki nowe źródła ciepła muszą spełniać następujące warunki:</w:t>
      </w:r>
    </w:p>
    <w:p w14:paraId="6B926F81" w14:textId="77777777" w:rsidR="007E3887" w:rsidRPr="00684190" w:rsidRDefault="007E3887" w:rsidP="009A33CC">
      <w:pPr>
        <w:pStyle w:val="Akapitzlist"/>
        <w:spacing w:before="120" w:after="0"/>
        <w:ind w:left="851" w:hanging="284"/>
        <w:contextualSpacing w:val="0"/>
        <w:jc w:val="both"/>
        <w:rPr>
          <w:rFonts w:asciiTheme="minorHAnsi" w:hAnsiTheme="minorHAnsi" w:cstheme="minorHAnsi"/>
          <w:lang w:eastAsia="pl-PL"/>
        </w:rPr>
      </w:pPr>
      <w:r w:rsidRPr="00684190">
        <w:rPr>
          <w:rFonts w:asciiTheme="minorHAnsi" w:hAnsiTheme="minorHAnsi" w:cstheme="minorHAnsi"/>
          <w:lang w:eastAsia="pl-PL"/>
        </w:rPr>
        <w:lastRenderedPageBreak/>
        <w:t>1)</w:t>
      </w:r>
      <w:r w:rsidRPr="00684190">
        <w:rPr>
          <w:rFonts w:asciiTheme="minorHAnsi" w:hAnsiTheme="minorHAnsi" w:cstheme="minorHAnsi"/>
          <w:lang w:eastAsia="pl-PL"/>
        </w:rPr>
        <w:tab/>
        <w:t xml:space="preserve">urządzenie jest zgodne z aktualnie obowiązującymi normami wynikającymi z Dyrektywy Parlamentu Europejskiego i Rady 2009/125/WE z dnia 21 października 2009 r. ustanawiającej ogólne zasady ustalania wymogów dotyczących </w:t>
      </w:r>
      <w:proofErr w:type="spellStart"/>
      <w:r w:rsidRPr="00684190">
        <w:rPr>
          <w:rFonts w:asciiTheme="minorHAnsi" w:hAnsiTheme="minorHAnsi" w:cstheme="minorHAnsi"/>
          <w:lang w:eastAsia="pl-PL"/>
        </w:rPr>
        <w:t>ekoprojektu</w:t>
      </w:r>
      <w:proofErr w:type="spellEnd"/>
      <w:r w:rsidRPr="00684190">
        <w:rPr>
          <w:rFonts w:asciiTheme="minorHAnsi" w:hAnsiTheme="minorHAnsi" w:cstheme="minorHAnsi"/>
          <w:lang w:eastAsia="pl-PL"/>
        </w:rPr>
        <w:t xml:space="preserve"> dla produktów związanych z energią,</w:t>
      </w:r>
    </w:p>
    <w:p w14:paraId="6BCC982E" w14:textId="77777777" w:rsidR="007E3887" w:rsidRPr="00684190" w:rsidRDefault="007E3887" w:rsidP="009A33CC">
      <w:pPr>
        <w:pStyle w:val="Akapitzlist"/>
        <w:spacing w:before="120" w:after="0"/>
        <w:ind w:left="851"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2)</w:t>
      </w:r>
      <w:r w:rsidRPr="00684190">
        <w:rPr>
          <w:rFonts w:asciiTheme="minorHAnsi" w:hAnsiTheme="minorHAnsi" w:cstheme="minorHAnsi"/>
          <w:lang w:eastAsia="pl-PL"/>
        </w:rPr>
        <w:tab/>
        <w:t>źródło ciepła na gaz ziemny zastępuje dotychczas działające w budynku źródło ciepła zasilane węglem kamiennym, torfem, węglem brunatnym lub łupkami bitumicznymi,</w:t>
      </w:r>
    </w:p>
    <w:p w14:paraId="22F70157" w14:textId="77777777" w:rsidR="007E3887" w:rsidRPr="00684190" w:rsidRDefault="007E3887" w:rsidP="009A33CC">
      <w:pPr>
        <w:pStyle w:val="Akapitzlist"/>
        <w:spacing w:before="120" w:after="0"/>
        <w:ind w:left="851"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3)</w:t>
      </w:r>
      <w:r w:rsidRPr="00684190">
        <w:rPr>
          <w:rFonts w:asciiTheme="minorHAnsi" w:hAnsiTheme="minorHAnsi" w:cstheme="minorHAnsi"/>
          <w:lang w:eastAsia="pl-PL"/>
        </w:rPr>
        <w:tab/>
        <w:t>finansowane z JP źródło ciepła należy do najwyższych dwóch istotnie licznych klas efektywności energetycznej lub klas wyższych, zgodnie z art. 7 ust. 2 Rozporządzenia Parlamentu Europejskiego i Rady (UE) 2017/1369 z dnia 4 lipca 2017 r. ustanawiającego ramy etykietowania energetycznego i uchylającym dyrektywę 2010/30/UE</w:t>
      </w:r>
      <w:r w:rsidRPr="00684190">
        <w:rPr>
          <w:rStyle w:val="Odwoanieprzypisudolnego"/>
          <w:rFonts w:asciiTheme="minorHAnsi" w:hAnsiTheme="minorHAnsi" w:cstheme="minorHAnsi"/>
          <w:lang w:eastAsia="pl-PL"/>
        </w:rPr>
        <w:footnoteReference w:id="6"/>
      </w:r>
      <w:r w:rsidRPr="00684190">
        <w:rPr>
          <w:rFonts w:asciiTheme="minorHAnsi" w:hAnsiTheme="minorHAnsi" w:cstheme="minorHAnsi"/>
          <w:lang w:eastAsia="pl-PL"/>
        </w:rPr>
        <w:t>.</w:t>
      </w:r>
    </w:p>
    <w:bookmarkEnd w:id="3"/>
    <w:p w14:paraId="24AC1D9E" w14:textId="55130B46" w:rsidR="00B025BE" w:rsidRPr="00684190" w:rsidRDefault="00B025BE" w:rsidP="009A33CC">
      <w:pPr>
        <w:pStyle w:val="Akapitzlist"/>
        <w:numPr>
          <w:ilvl w:val="0"/>
          <w:numId w:val="16"/>
        </w:numPr>
        <w:spacing w:before="120" w:after="0"/>
        <w:ind w:left="284" w:hanging="284"/>
        <w:contextualSpacing w:val="0"/>
        <w:rPr>
          <w:rFonts w:asciiTheme="minorHAnsi" w:hAnsiTheme="minorHAnsi" w:cstheme="minorHAnsi"/>
        </w:rPr>
      </w:pPr>
      <w:r w:rsidRPr="00684190">
        <w:rPr>
          <w:rFonts w:asciiTheme="minorHAnsi" w:hAnsiTheme="minorHAnsi" w:cstheme="minorHAnsi"/>
        </w:rPr>
        <w:t>Podłączenie do sieci ciepłowniczej może</w:t>
      </w:r>
      <w:r w:rsidR="005D7DF3" w:rsidRPr="00684190">
        <w:rPr>
          <w:rFonts w:asciiTheme="minorHAnsi" w:hAnsiTheme="minorHAnsi" w:cstheme="minorHAnsi"/>
        </w:rPr>
        <w:t xml:space="preserve"> być</w:t>
      </w:r>
      <w:r w:rsidRPr="00684190">
        <w:rPr>
          <w:rFonts w:asciiTheme="minorHAnsi" w:hAnsiTheme="minorHAnsi" w:cstheme="minorHAnsi"/>
        </w:rPr>
        <w:t xml:space="preserve"> finansowane wyłącznie z pomocy określonej w Części X pkt 6 </w:t>
      </w:r>
      <w:proofErr w:type="spellStart"/>
      <w:r w:rsidR="007E3436" w:rsidRPr="00684190">
        <w:rPr>
          <w:rFonts w:asciiTheme="minorHAnsi" w:hAnsiTheme="minorHAnsi" w:cstheme="minorHAnsi"/>
        </w:rPr>
        <w:t>ppkt</w:t>
      </w:r>
      <w:proofErr w:type="spellEnd"/>
      <w:r w:rsidR="007E3436" w:rsidRPr="00684190">
        <w:rPr>
          <w:rFonts w:asciiTheme="minorHAnsi" w:hAnsiTheme="minorHAnsi" w:cstheme="minorHAnsi"/>
        </w:rPr>
        <w:t xml:space="preserve"> 1</w:t>
      </w:r>
      <w:r w:rsidRPr="00684190">
        <w:rPr>
          <w:rFonts w:asciiTheme="minorHAnsi" w:hAnsiTheme="minorHAnsi" w:cstheme="minorHAnsi"/>
        </w:rPr>
        <w:t>).</w:t>
      </w:r>
    </w:p>
    <w:p w14:paraId="1B8C8261" w14:textId="66A0D494" w:rsidR="00AF553A" w:rsidRPr="00684190" w:rsidRDefault="009F238E" w:rsidP="005B64DD">
      <w:pPr>
        <w:pStyle w:val="Akapitzlist"/>
        <w:numPr>
          <w:ilvl w:val="0"/>
          <w:numId w:val="16"/>
        </w:numPr>
        <w:spacing w:before="120" w:after="0"/>
        <w:ind w:left="284" w:hanging="284"/>
        <w:contextualSpacing w:val="0"/>
        <w:jc w:val="both"/>
        <w:rPr>
          <w:rFonts w:asciiTheme="minorHAnsi" w:hAnsiTheme="minorHAnsi" w:cstheme="minorHAnsi"/>
          <w:lang w:eastAsia="pl-PL"/>
        </w:rPr>
      </w:pPr>
      <w:r w:rsidRPr="00684190">
        <w:rPr>
          <w:rFonts w:asciiTheme="minorHAnsi" w:hAnsiTheme="minorHAnsi" w:cstheme="minorHAnsi"/>
        </w:rPr>
        <w:t>Zestawienie wymagań wobec zastosowanych urządzeń i instalacji oraz audytów znajduje się w dokumencie</w:t>
      </w:r>
      <w:r w:rsidR="000D2A99" w:rsidRPr="00684190">
        <w:rPr>
          <w:rFonts w:asciiTheme="minorHAnsi" w:hAnsiTheme="minorHAnsi" w:cstheme="minorHAnsi"/>
        </w:rPr>
        <w:t xml:space="preserve"> „</w:t>
      </w:r>
      <w:r w:rsidR="00A062EF" w:rsidRPr="00684190">
        <w:rPr>
          <w:rFonts w:asciiTheme="minorHAnsi" w:hAnsiTheme="minorHAnsi" w:cstheme="minorHAnsi"/>
          <w:lang w:eastAsia="pl-PL"/>
        </w:rPr>
        <w:t>Przewodnik Banku Gospodarstwa Krajowego do sporządzania audytów energetycznych i audytów efektywności energetycznej – projekty efektywności energetycznej w wielorodzinnych budynkach mieszkalnych finansowane z funduszy europejskich w ramach polityki spójności na lata 2021 – 2027</w:t>
      </w:r>
      <w:r w:rsidR="000D2A99" w:rsidRPr="00684190">
        <w:rPr>
          <w:rFonts w:asciiTheme="minorHAnsi" w:hAnsiTheme="minorHAnsi" w:cstheme="minorHAnsi"/>
          <w:lang w:eastAsia="pl-PL"/>
        </w:rPr>
        <w:t>”</w:t>
      </w:r>
      <w:bookmarkStart w:id="4" w:name="_Hlk164943961"/>
      <w:r w:rsidR="000D2A99" w:rsidRPr="00684190">
        <w:rPr>
          <w:rFonts w:asciiTheme="minorHAnsi" w:hAnsiTheme="minorHAnsi" w:cstheme="minorHAnsi"/>
          <w:lang w:eastAsia="pl-PL"/>
        </w:rPr>
        <w:t xml:space="preserve"> </w:t>
      </w:r>
      <w:r w:rsidR="00DA11A1" w:rsidRPr="00684190">
        <w:rPr>
          <w:rFonts w:asciiTheme="minorHAnsi" w:hAnsiTheme="minorHAnsi" w:cstheme="minorHAnsi"/>
        </w:rPr>
        <w:t xml:space="preserve">dostępnym pod adresem: </w:t>
      </w:r>
      <w:hyperlink r:id="rId8" w:history="1">
        <w:r w:rsidR="00DA11A1" w:rsidRPr="00684190">
          <w:rPr>
            <w:rStyle w:val="Hipercze"/>
            <w:rFonts w:asciiTheme="minorHAnsi" w:hAnsiTheme="minorHAnsi" w:cstheme="minorHAnsi"/>
            <w:color w:val="auto"/>
          </w:rPr>
          <w:t>https://www.bgk.pl/programy-i-fundusze/fundusze/fundusze-europejskie/projekty/fundusze-europejskie-dla-regionow-2021-2027/dokumenty-do-pobrania/</w:t>
        </w:r>
      </w:hyperlink>
      <w:r w:rsidR="00910610" w:rsidRPr="00684190">
        <w:rPr>
          <w:rFonts w:asciiTheme="minorHAnsi" w:hAnsiTheme="minorHAnsi" w:cstheme="minorHAnsi"/>
        </w:rPr>
        <w:t>.</w:t>
      </w:r>
    </w:p>
    <w:bookmarkEnd w:id="4"/>
    <w:p w14:paraId="04213A0E" w14:textId="49E20D45" w:rsidR="00A63341" w:rsidRPr="00684190" w:rsidRDefault="00A63341" w:rsidP="005B64DD">
      <w:pPr>
        <w:pStyle w:val="Akapitzlist"/>
        <w:numPr>
          <w:ilvl w:val="0"/>
          <w:numId w:val="16"/>
        </w:numPr>
        <w:spacing w:before="120" w:after="0"/>
        <w:ind w:left="284"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W przypadku Inwestycji Końcowej, która dotyczy efektywności energetycznej więcej niż jednego budynku, wymagane jest opracowanie i przedstawienie</w:t>
      </w:r>
      <w:r w:rsidR="00043060" w:rsidRPr="00684190">
        <w:rPr>
          <w:rFonts w:asciiTheme="minorHAnsi" w:hAnsiTheme="minorHAnsi" w:cstheme="minorHAnsi"/>
          <w:lang w:eastAsia="pl-PL"/>
        </w:rPr>
        <w:t>,</w:t>
      </w:r>
      <w:r w:rsidRPr="00684190">
        <w:rPr>
          <w:rFonts w:asciiTheme="minorHAnsi" w:hAnsiTheme="minorHAnsi" w:cstheme="minorHAnsi"/>
          <w:lang w:eastAsia="pl-PL"/>
        </w:rPr>
        <w:t xml:space="preserve"> wraz z Wnioskiem przy ubieganiu się o Jednostkową Pożyczkę</w:t>
      </w:r>
      <w:r w:rsidR="00AF553A" w:rsidRPr="00684190">
        <w:rPr>
          <w:rFonts w:asciiTheme="minorHAnsi" w:hAnsiTheme="minorHAnsi" w:cstheme="minorHAnsi"/>
          <w:lang w:eastAsia="pl-PL"/>
        </w:rPr>
        <w:t>,</w:t>
      </w:r>
      <w:r w:rsidRPr="00684190">
        <w:rPr>
          <w:rFonts w:asciiTheme="minorHAnsi" w:hAnsiTheme="minorHAnsi" w:cstheme="minorHAnsi"/>
          <w:lang w:eastAsia="pl-PL"/>
        </w:rPr>
        <w:t xml:space="preserve"> oddzielnego Audytu </w:t>
      </w:r>
      <w:r w:rsidR="00AF553A" w:rsidRPr="00684190">
        <w:rPr>
          <w:rFonts w:asciiTheme="minorHAnsi" w:hAnsiTheme="minorHAnsi" w:cstheme="minorHAnsi"/>
          <w:lang w:eastAsia="pl-PL"/>
        </w:rPr>
        <w:t>dla każdego z budynków</w:t>
      </w:r>
      <w:r w:rsidRPr="00684190">
        <w:rPr>
          <w:rFonts w:asciiTheme="minorHAnsi" w:hAnsiTheme="minorHAnsi" w:cstheme="minorHAnsi"/>
          <w:lang w:eastAsia="pl-PL"/>
        </w:rPr>
        <w:t xml:space="preserve">. </w:t>
      </w:r>
    </w:p>
    <w:p w14:paraId="19CAF281" w14:textId="3248054C" w:rsidR="00751539" w:rsidRPr="00684190" w:rsidRDefault="00751539" w:rsidP="005B64DD">
      <w:pPr>
        <w:pStyle w:val="Akapitzlist"/>
        <w:numPr>
          <w:ilvl w:val="0"/>
          <w:numId w:val="16"/>
        </w:numPr>
        <w:spacing w:before="120" w:after="0"/>
        <w:ind w:left="284"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 xml:space="preserve">W wyniku realizacji Inwestycji Końcowych oszczędność energii pierwotnej każdego budynku w stosunku do stanu wyjściowego musi kształtować się na poziomie nie niższym niż 30%, z wyjątkiem </w:t>
      </w:r>
      <w:r w:rsidR="00C3327E" w:rsidRPr="00684190">
        <w:rPr>
          <w:rFonts w:asciiTheme="minorHAnsi" w:hAnsiTheme="minorHAnsi" w:cstheme="minorHAnsi"/>
          <w:lang w:eastAsia="pl-PL"/>
        </w:rPr>
        <w:t xml:space="preserve">budynków </w:t>
      </w:r>
      <w:r w:rsidRPr="00684190">
        <w:rPr>
          <w:rFonts w:asciiTheme="minorHAnsi" w:hAnsiTheme="minorHAnsi" w:cstheme="minorHAnsi"/>
          <w:lang w:eastAsia="pl-PL"/>
        </w:rPr>
        <w:t>zabytk</w:t>
      </w:r>
      <w:r w:rsidR="00C3327E" w:rsidRPr="00684190">
        <w:rPr>
          <w:rFonts w:asciiTheme="minorHAnsi" w:hAnsiTheme="minorHAnsi" w:cstheme="minorHAnsi"/>
          <w:lang w:eastAsia="pl-PL"/>
        </w:rPr>
        <w:t>owych</w:t>
      </w:r>
      <w:r w:rsidRPr="00684190">
        <w:rPr>
          <w:rFonts w:asciiTheme="minorHAnsi" w:hAnsiTheme="minorHAnsi" w:cstheme="minorHAnsi"/>
          <w:lang w:eastAsia="pl-PL"/>
        </w:rPr>
        <w:t>.</w:t>
      </w:r>
    </w:p>
    <w:p w14:paraId="6F257796" w14:textId="550F6100" w:rsidR="004F0748" w:rsidRPr="00684190" w:rsidRDefault="004F0748" w:rsidP="005B64DD">
      <w:pPr>
        <w:pStyle w:val="Akapitzlist"/>
        <w:numPr>
          <w:ilvl w:val="0"/>
          <w:numId w:val="16"/>
        </w:numPr>
        <w:spacing w:before="120" w:after="0"/>
        <w:ind w:left="284" w:hanging="284"/>
        <w:contextualSpacing w:val="0"/>
        <w:jc w:val="both"/>
        <w:rPr>
          <w:rFonts w:asciiTheme="minorHAnsi" w:hAnsiTheme="minorHAnsi" w:cstheme="minorHAnsi"/>
          <w:lang w:eastAsia="pl-PL"/>
        </w:rPr>
      </w:pPr>
      <w:r w:rsidRPr="00684190">
        <w:rPr>
          <w:rFonts w:asciiTheme="minorHAnsi" w:hAnsiTheme="minorHAnsi" w:cstheme="minorHAnsi"/>
        </w:rPr>
        <w:t>W przypadku Inwestycji Końcowych dotyczących termomodernizacji budynków na obszarze występowania gatunków chronionych wymagane jest posiadanie ekspertyzy ornitologicznej/</w:t>
      </w:r>
      <w:proofErr w:type="spellStart"/>
      <w:r w:rsidRPr="00684190">
        <w:rPr>
          <w:rFonts w:asciiTheme="minorHAnsi" w:hAnsiTheme="minorHAnsi" w:cstheme="minorHAnsi"/>
        </w:rPr>
        <w:t>chiropterologicznej</w:t>
      </w:r>
      <w:proofErr w:type="spellEnd"/>
      <w:r w:rsidRPr="00684190">
        <w:rPr>
          <w:rFonts w:asciiTheme="minorHAnsi" w:hAnsiTheme="minorHAnsi" w:cstheme="minorHAnsi"/>
        </w:rPr>
        <w:t xml:space="preserve">. Ostateczny </w:t>
      </w:r>
      <w:r w:rsidR="00384783" w:rsidRPr="00684190">
        <w:rPr>
          <w:rFonts w:asciiTheme="minorHAnsi" w:hAnsiTheme="minorHAnsi" w:cstheme="minorHAnsi"/>
        </w:rPr>
        <w:t>O</w:t>
      </w:r>
      <w:r w:rsidRPr="00684190">
        <w:rPr>
          <w:rFonts w:asciiTheme="minorHAnsi" w:hAnsiTheme="minorHAnsi" w:cstheme="minorHAnsi"/>
        </w:rPr>
        <w:t xml:space="preserve">dbiorca zobligowany będzie do złożenia wraz z Wnioskiem oświadczenia o zobowiązaniu się do uzyskania ekspertyzy ornitologicznej i/lub </w:t>
      </w:r>
      <w:proofErr w:type="spellStart"/>
      <w:r w:rsidRPr="00684190">
        <w:rPr>
          <w:rFonts w:asciiTheme="minorHAnsi" w:hAnsiTheme="minorHAnsi" w:cstheme="minorHAnsi"/>
        </w:rPr>
        <w:t>chiropterologicznej</w:t>
      </w:r>
      <w:proofErr w:type="spellEnd"/>
      <w:r w:rsidRPr="00684190">
        <w:rPr>
          <w:rFonts w:asciiTheme="minorHAnsi" w:hAnsiTheme="minorHAnsi" w:cstheme="minorHAnsi"/>
        </w:rPr>
        <w:t xml:space="preserve"> najpóźniej na dzień rozpoczęcia rzeczowej realizacji Inwestycji Końcowej.</w:t>
      </w:r>
    </w:p>
    <w:p w14:paraId="7F501552" w14:textId="65C677BB" w:rsidR="00A63341" w:rsidRPr="00684190" w:rsidRDefault="00A63341" w:rsidP="005B64DD">
      <w:pPr>
        <w:pStyle w:val="Akapitzlist"/>
        <w:numPr>
          <w:ilvl w:val="0"/>
          <w:numId w:val="16"/>
        </w:numPr>
        <w:spacing w:before="120" w:after="0"/>
        <w:ind w:left="284" w:hanging="284"/>
        <w:contextualSpacing w:val="0"/>
        <w:jc w:val="both"/>
        <w:rPr>
          <w:rFonts w:asciiTheme="minorHAnsi" w:hAnsiTheme="minorHAnsi" w:cstheme="minorHAnsi"/>
          <w:lang w:eastAsia="pl-PL"/>
        </w:rPr>
      </w:pPr>
      <w:r w:rsidRPr="00684190">
        <w:rPr>
          <w:rFonts w:asciiTheme="minorHAnsi" w:hAnsiTheme="minorHAnsi" w:cstheme="minorHAnsi"/>
          <w:lang w:eastAsia="pl-PL"/>
        </w:rPr>
        <w:t>W ramach Inwestycji Końcowych nie dopuszcza się montażu instalacji OZE na dachu pokrytym wyrobami zawierającymi azbest.</w:t>
      </w:r>
    </w:p>
    <w:p w14:paraId="58C27928" w14:textId="56A45AEA" w:rsidR="00305F58" w:rsidRPr="00684190" w:rsidRDefault="00305F58" w:rsidP="005B64DD">
      <w:pPr>
        <w:pStyle w:val="Nagwek1"/>
        <w:spacing w:before="120"/>
        <w:rPr>
          <w:rFonts w:asciiTheme="minorHAnsi" w:hAnsiTheme="minorHAnsi" w:cstheme="minorHAnsi"/>
          <w:color w:val="auto"/>
        </w:rPr>
      </w:pPr>
      <w:r w:rsidRPr="00684190">
        <w:rPr>
          <w:rFonts w:asciiTheme="minorHAnsi" w:hAnsiTheme="minorHAnsi" w:cstheme="minorHAnsi"/>
          <w:color w:val="auto"/>
        </w:rPr>
        <w:t>Część V Wykluczenia i ograniczenia w finansowaniu</w:t>
      </w:r>
    </w:p>
    <w:p w14:paraId="626C9371" w14:textId="77777777" w:rsidR="00305F58" w:rsidRPr="00684190" w:rsidRDefault="00305F58" w:rsidP="005B64DD">
      <w:pPr>
        <w:pStyle w:val="Akapitzlist"/>
        <w:numPr>
          <w:ilvl w:val="0"/>
          <w:numId w:val="2"/>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Środki z Jednostkowej Pożyczki nie mogą być przeznaczone na:</w:t>
      </w:r>
    </w:p>
    <w:p w14:paraId="650EC35F" w14:textId="77777777" w:rsidR="00E172EC" w:rsidRPr="00684190" w:rsidRDefault="00305F58" w:rsidP="005B64DD">
      <w:pPr>
        <w:pStyle w:val="Akapitzlist"/>
        <w:numPr>
          <w:ilvl w:val="0"/>
          <w:numId w:val="41"/>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wydatki i inwestycje objęte wyłączeniem ze wsparcia z Europejskiego Funduszu Rozwoju Regionalnego, wskazanym w art. 7 ust. 1 Rozporządzenia EFRR</w:t>
      </w:r>
      <w:r w:rsidR="00E172EC" w:rsidRPr="00684190">
        <w:rPr>
          <w:rFonts w:asciiTheme="minorHAnsi" w:hAnsiTheme="minorHAnsi" w:cstheme="minorHAnsi"/>
        </w:rPr>
        <w:t>;</w:t>
      </w:r>
    </w:p>
    <w:p w14:paraId="7E826378" w14:textId="77777777" w:rsidR="00305F58" w:rsidRPr="00684190" w:rsidRDefault="00305F58" w:rsidP="005B64DD">
      <w:pPr>
        <w:pStyle w:val="Akapitzlist"/>
        <w:numPr>
          <w:ilvl w:val="0"/>
          <w:numId w:val="41"/>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wydatki wspierające przeniesienie produkcji, o którym mowa w art. 66 Rozporządzenia Ogólnego;</w:t>
      </w:r>
    </w:p>
    <w:p w14:paraId="6B2EF2CB" w14:textId="77777777" w:rsidR="00305F58" w:rsidRPr="00684190" w:rsidRDefault="00305F58" w:rsidP="005B64DD">
      <w:pPr>
        <w:pStyle w:val="Akapitzlist"/>
        <w:numPr>
          <w:ilvl w:val="0"/>
          <w:numId w:val="41"/>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spłatę odsetek od zadłużenia, o których mowa w art. 64 ust. 1 lit. a Rozporządzenia Ogólnego;</w:t>
      </w:r>
    </w:p>
    <w:p w14:paraId="03254DDC" w14:textId="77777777" w:rsidR="00305F58" w:rsidRPr="00684190" w:rsidRDefault="00305F58" w:rsidP="005B64DD">
      <w:pPr>
        <w:pStyle w:val="Akapitzlist"/>
        <w:numPr>
          <w:ilvl w:val="0"/>
          <w:numId w:val="41"/>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prefinansowanie wydatków, w części, na którą Ostateczny Odbiorca otrzymał dofinansowanie w formie dotacji;</w:t>
      </w:r>
    </w:p>
    <w:p w14:paraId="4928AAFE" w14:textId="77777777" w:rsidR="00305F58" w:rsidRPr="00684190" w:rsidRDefault="00305F58" w:rsidP="005B64DD">
      <w:pPr>
        <w:pStyle w:val="Akapitzlist"/>
        <w:numPr>
          <w:ilvl w:val="0"/>
          <w:numId w:val="41"/>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lastRenderedPageBreak/>
        <w:t>refinansowanie pożyczek, kredytów, leasingu lub innych form finansowania, z których korzysta Ostateczny Odbiorca;</w:t>
      </w:r>
    </w:p>
    <w:p w14:paraId="3834A359" w14:textId="1DBE05E0" w:rsidR="00305F58" w:rsidRPr="00684190" w:rsidRDefault="00305F58" w:rsidP="005B64DD">
      <w:pPr>
        <w:pStyle w:val="Akapitzlist"/>
        <w:numPr>
          <w:ilvl w:val="0"/>
          <w:numId w:val="41"/>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finansow</w:t>
      </w:r>
      <w:r w:rsidR="00F94F99" w:rsidRPr="00684190">
        <w:rPr>
          <w:rFonts w:asciiTheme="minorHAnsi" w:hAnsiTheme="minorHAnsi" w:cstheme="minorHAnsi"/>
        </w:rPr>
        <w:t>anie zakupu aktywów finansowych</w:t>
      </w:r>
      <w:r w:rsidR="0060169D" w:rsidRPr="00684190">
        <w:rPr>
          <w:rFonts w:asciiTheme="minorHAnsi" w:hAnsiTheme="minorHAnsi" w:cstheme="minorHAnsi"/>
        </w:rPr>
        <w:t xml:space="preserve"> przeznaczonych do obrotu lub lokowania kapitału</w:t>
      </w:r>
      <w:r w:rsidR="00F94F99" w:rsidRPr="00684190">
        <w:rPr>
          <w:rFonts w:asciiTheme="minorHAnsi" w:hAnsiTheme="minorHAnsi" w:cstheme="minorHAnsi"/>
        </w:rPr>
        <w:t>;</w:t>
      </w:r>
    </w:p>
    <w:p w14:paraId="0C898216" w14:textId="61A7F200" w:rsidR="006E0236" w:rsidRPr="00684190" w:rsidRDefault="00F94F99" w:rsidP="005B64DD">
      <w:pPr>
        <w:pStyle w:val="Akapitzlist"/>
        <w:numPr>
          <w:ilvl w:val="0"/>
          <w:numId w:val="41"/>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f</w:t>
      </w:r>
      <w:r w:rsidR="006E0236" w:rsidRPr="00684190">
        <w:rPr>
          <w:rFonts w:asciiTheme="minorHAnsi" w:hAnsiTheme="minorHAnsi" w:cstheme="minorHAnsi"/>
        </w:rPr>
        <w:t xml:space="preserve">inansowanie zakupu nieruchomości </w:t>
      </w:r>
    </w:p>
    <w:p w14:paraId="72282BBB" w14:textId="7C42AFDD" w:rsidR="00305F58" w:rsidRPr="00684190" w:rsidRDefault="00305F58" w:rsidP="005B64DD">
      <w:pPr>
        <w:pStyle w:val="Akapitzlist"/>
        <w:numPr>
          <w:ilvl w:val="0"/>
          <w:numId w:val="2"/>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Ostateczny Obiorca nie może doprowadzić do </w:t>
      </w:r>
      <w:bookmarkStart w:id="5" w:name="_Hlk162014648"/>
      <w:r w:rsidRPr="00684190">
        <w:rPr>
          <w:rFonts w:asciiTheme="minorHAnsi" w:hAnsiTheme="minorHAnsi" w:cstheme="minorHAnsi"/>
        </w:rPr>
        <w:t xml:space="preserve">wystąpienia przypadku więcej niż jednokrotnego – całkowitego albo częściowego – sfinansowania wydatków Ostatecznego Odbiorcy przedstawianych do rozliczenia Jednostkowej Pożyczki w ramach </w:t>
      </w:r>
      <w:r w:rsidR="007E17E1" w:rsidRPr="00684190">
        <w:rPr>
          <w:rFonts w:asciiTheme="minorHAnsi" w:hAnsiTheme="minorHAnsi" w:cstheme="minorHAnsi"/>
        </w:rPr>
        <w:t>tego samego lub różnych funduszy lub instrumentów wsparcia Unii Europejskiej, w jakiejkolwiek formie (w tym dotacji, pożyczki, gwarancji/poręczenia)</w:t>
      </w:r>
      <w:r w:rsidRPr="00684190">
        <w:rPr>
          <w:rFonts w:asciiTheme="minorHAnsi" w:hAnsiTheme="minorHAnsi" w:cstheme="minorHAnsi"/>
        </w:rPr>
        <w:t>.</w:t>
      </w:r>
      <w:bookmarkEnd w:id="5"/>
    </w:p>
    <w:p w14:paraId="4A71C7C0" w14:textId="7A409EB8" w:rsidR="007E17E1" w:rsidRPr="00684190" w:rsidRDefault="007E17E1" w:rsidP="005B64DD">
      <w:pPr>
        <w:pStyle w:val="Nagwek1"/>
        <w:spacing w:before="120"/>
        <w:rPr>
          <w:rFonts w:asciiTheme="minorHAnsi" w:hAnsiTheme="minorHAnsi" w:cstheme="minorHAnsi"/>
          <w:color w:val="auto"/>
        </w:rPr>
      </w:pPr>
      <w:r w:rsidRPr="00684190">
        <w:rPr>
          <w:rFonts w:asciiTheme="minorHAnsi" w:hAnsiTheme="minorHAnsi" w:cstheme="minorHAnsi"/>
          <w:color w:val="auto"/>
        </w:rPr>
        <w:t xml:space="preserve">Część VI Kwalifikowalność podmiotowa Ostatecznych Odbiorców </w:t>
      </w:r>
    </w:p>
    <w:p w14:paraId="6939673F" w14:textId="580A20A1" w:rsidR="006D1535" w:rsidRPr="00684190" w:rsidRDefault="001327AA" w:rsidP="005B64DD">
      <w:pPr>
        <w:pStyle w:val="Default"/>
        <w:numPr>
          <w:ilvl w:val="0"/>
          <w:numId w:val="17"/>
        </w:numPr>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 xml:space="preserve">Ostatecznymi Odbiorcami </w:t>
      </w:r>
      <w:r w:rsidR="009207D4" w:rsidRPr="00684190">
        <w:rPr>
          <w:rFonts w:asciiTheme="minorHAnsi" w:hAnsiTheme="minorHAnsi" w:cstheme="minorHAnsi"/>
          <w:color w:val="auto"/>
          <w:sz w:val="22"/>
          <w:szCs w:val="22"/>
        </w:rPr>
        <w:t>Jednostkowych Pożyczek mogą być</w:t>
      </w:r>
      <w:r w:rsidR="00BA5DE1" w:rsidRPr="00684190">
        <w:rPr>
          <w:rFonts w:asciiTheme="minorHAnsi" w:hAnsiTheme="minorHAnsi" w:cstheme="minorHAnsi"/>
          <w:color w:val="auto"/>
          <w:sz w:val="22"/>
          <w:szCs w:val="22"/>
        </w:rPr>
        <w:t xml:space="preserve"> właściciele</w:t>
      </w:r>
      <w:r w:rsidR="00150709" w:rsidRPr="00684190">
        <w:rPr>
          <w:rFonts w:asciiTheme="minorHAnsi" w:hAnsiTheme="minorHAnsi" w:cstheme="minorHAnsi"/>
          <w:color w:val="auto"/>
          <w:sz w:val="22"/>
          <w:szCs w:val="22"/>
          <w:lang w:eastAsia="en-US"/>
        </w:rPr>
        <w:t xml:space="preserve"> </w:t>
      </w:r>
      <w:r w:rsidR="00150709" w:rsidRPr="00684190">
        <w:rPr>
          <w:rFonts w:asciiTheme="minorHAnsi" w:hAnsiTheme="minorHAnsi" w:cstheme="minorHAnsi"/>
          <w:color w:val="auto"/>
          <w:sz w:val="22"/>
          <w:szCs w:val="22"/>
        </w:rPr>
        <w:t>wielorodzinnych budynków mieszkalnych / zarządzający wielorodzinnymi budynkami</w:t>
      </w:r>
      <w:r w:rsidR="008C4EAF" w:rsidRPr="00684190">
        <w:rPr>
          <w:rFonts w:asciiTheme="minorHAnsi" w:hAnsiTheme="minorHAnsi" w:cstheme="minorHAnsi"/>
          <w:color w:val="auto"/>
          <w:sz w:val="22"/>
          <w:szCs w:val="22"/>
        </w:rPr>
        <w:t>, m.in.</w:t>
      </w:r>
      <w:r w:rsidR="00BE519F" w:rsidRPr="00684190">
        <w:rPr>
          <w:rFonts w:asciiTheme="minorHAnsi" w:hAnsiTheme="minorHAnsi" w:cstheme="minorHAnsi"/>
          <w:color w:val="auto"/>
          <w:sz w:val="22"/>
          <w:szCs w:val="22"/>
        </w:rPr>
        <w:t>:</w:t>
      </w:r>
      <w:r w:rsidR="009207D4" w:rsidRPr="00684190">
        <w:rPr>
          <w:rFonts w:asciiTheme="minorHAnsi" w:hAnsiTheme="minorHAnsi" w:cstheme="minorHAnsi"/>
          <w:color w:val="auto"/>
          <w:sz w:val="22"/>
          <w:szCs w:val="22"/>
        </w:rPr>
        <w:t xml:space="preserve"> </w:t>
      </w:r>
    </w:p>
    <w:p w14:paraId="3BB02168" w14:textId="75AF083C" w:rsidR="00BE519F" w:rsidRPr="00684190" w:rsidRDefault="00BE519F" w:rsidP="005B64DD">
      <w:pPr>
        <w:pStyle w:val="Default"/>
        <w:numPr>
          <w:ilvl w:val="0"/>
          <w:numId w:val="8"/>
        </w:numPr>
        <w:spacing w:before="120" w:line="276" w:lineRule="auto"/>
        <w:ind w:left="851" w:hanging="284"/>
        <w:rPr>
          <w:rFonts w:asciiTheme="minorHAnsi" w:hAnsiTheme="minorHAnsi" w:cstheme="minorHAnsi"/>
          <w:color w:val="auto"/>
          <w:sz w:val="22"/>
          <w:szCs w:val="22"/>
        </w:rPr>
      </w:pPr>
      <w:r w:rsidRPr="00684190">
        <w:rPr>
          <w:rFonts w:asciiTheme="minorHAnsi" w:hAnsiTheme="minorHAnsi" w:cstheme="minorHAnsi"/>
          <w:color w:val="auto"/>
          <w:sz w:val="22"/>
          <w:szCs w:val="22"/>
        </w:rPr>
        <w:t xml:space="preserve">wspólnoty mieszkaniowe </w:t>
      </w:r>
      <w:r w:rsidR="00C539AA" w:rsidRPr="00684190">
        <w:rPr>
          <w:rFonts w:asciiTheme="minorHAnsi" w:hAnsiTheme="minorHAnsi" w:cstheme="minorHAnsi"/>
          <w:color w:val="auto"/>
          <w:sz w:val="22"/>
          <w:szCs w:val="22"/>
        </w:rPr>
        <w:t>–</w:t>
      </w:r>
      <w:r w:rsidRPr="00684190">
        <w:rPr>
          <w:rFonts w:asciiTheme="minorHAnsi" w:hAnsiTheme="minorHAnsi" w:cstheme="minorHAnsi"/>
          <w:color w:val="auto"/>
          <w:sz w:val="22"/>
          <w:szCs w:val="22"/>
        </w:rPr>
        <w:t xml:space="preserve"> jednostki organizacyjne nieposiadające osobowości prawnej, działające na podstawie ustawy z dnia 24 czerwca 1994 r. o własności lokali; </w:t>
      </w:r>
    </w:p>
    <w:p w14:paraId="6EFE6D24" w14:textId="2F686739" w:rsidR="00BE519F" w:rsidRPr="00684190" w:rsidRDefault="00BE519F" w:rsidP="005B64DD">
      <w:pPr>
        <w:pStyle w:val="Default"/>
        <w:numPr>
          <w:ilvl w:val="0"/>
          <w:numId w:val="8"/>
        </w:numPr>
        <w:spacing w:before="120" w:line="276" w:lineRule="auto"/>
        <w:ind w:left="851" w:hanging="284"/>
        <w:rPr>
          <w:rFonts w:asciiTheme="minorHAnsi" w:hAnsiTheme="minorHAnsi" w:cstheme="minorHAnsi"/>
          <w:color w:val="auto"/>
          <w:sz w:val="22"/>
          <w:szCs w:val="22"/>
        </w:rPr>
      </w:pPr>
      <w:r w:rsidRPr="00684190">
        <w:rPr>
          <w:rFonts w:asciiTheme="minorHAnsi" w:hAnsiTheme="minorHAnsi" w:cstheme="minorHAnsi"/>
          <w:color w:val="auto"/>
          <w:sz w:val="22"/>
          <w:szCs w:val="22"/>
        </w:rPr>
        <w:t>towarzystwa budownictwa społecznego – działające na podstawie obowiązujących przepisów prawa;</w:t>
      </w:r>
    </w:p>
    <w:p w14:paraId="231F6675" w14:textId="77777777" w:rsidR="00F247CA" w:rsidRPr="00684190" w:rsidRDefault="00F247CA" w:rsidP="005B64DD">
      <w:pPr>
        <w:pStyle w:val="Default"/>
        <w:numPr>
          <w:ilvl w:val="0"/>
          <w:numId w:val="8"/>
        </w:numPr>
        <w:spacing w:before="120" w:line="276" w:lineRule="auto"/>
        <w:ind w:left="851" w:hanging="284"/>
        <w:rPr>
          <w:rFonts w:asciiTheme="minorHAnsi" w:hAnsiTheme="minorHAnsi" w:cstheme="minorHAnsi"/>
          <w:color w:val="auto"/>
          <w:sz w:val="22"/>
          <w:szCs w:val="22"/>
        </w:rPr>
      </w:pPr>
      <w:r w:rsidRPr="00684190">
        <w:rPr>
          <w:rFonts w:asciiTheme="minorHAnsi" w:hAnsiTheme="minorHAnsi" w:cstheme="minorHAnsi"/>
          <w:color w:val="auto"/>
          <w:sz w:val="22"/>
          <w:szCs w:val="22"/>
        </w:rPr>
        <w:t>jednostki samorządu terytorialnego, a także:</w:t>
      </w:r>
    </w:p>
    <w:p w14:paraId="06AA6DA6" w14:textId="2D30EF9C" w:rsidR="00F247CA" w:rsidRPr="00684190" w:rsidRDefault="00F247CA" w:rsidP="005B64DD">
      <w:pPr>
        <w:pStyle w:val="Default"/>
        <w:numPr>
          <w:ilvl w:val="1"/>
          <w:numId w:val="33"/>
        </w:numPr>
        <w:spacing w:before="120" w:line="276" w:lineRule="auto"/>
        <w:rPr>
          <w:rFonts w:asciiTheme="minorHAnsi" w:hAnsiTheme="minorHAnsi" w:cstheme="minorHAnsi"/>
          <w:color w:val="auto"/>
          <w:sz w:val="22"/>
          <w:szCs w:val="22"/>
        </w:rPr>
      </w:pPr>
      <w:r w:rsidRPr="00684190">
        <w:rPr>
          <w:rFonts w:asciiTheme="minorHAnsi" w:hAnsiTheme="minorHAnsi" w:cstheme="minorHAnsi"/>
          <w:color w:val="auto"/>
          <w:sz w:val="22"/>
          <w:szCs w:val="22"/>
        </w:rPr>
        <w:t xml:space="preserve">podległe im podmioty (w tym spółki prawa handlowego z większościowym udziałem </w:t>
      </w:r>
      <w:proofErr w:type="spellStart"/>
      <w:r w:rsidRPr="00684190">
        <w:rPr>
          <w:rFonts w:asciiTheme="minorHAnsi" w:hAnsiTheme="minorHAnsi" w:cstheme="minorHAnsi"/>
          <w:color w:val="auto"/>
          <w:sz w:val="22"/>
          <w:szCs w:val="22"/>
        </w:rPr>
        <w:t>jst</w:t>
      </w:r>
      <w:proofErr w:type="spellEnd"/>
      <w:r w:rsidRPr="00684190">
        <w:rPr>
          <w:rFonts w:asciiTheme="minorHAnsi" w:hAnsiTheme="minorHAnsi" w:cstheme="minorHAnsi"/>
          <w:color w:val="auto"/>
          <w:sz w:val="22"/>
          <w:szCs w:val="22"/>
        </w:rPr>
        <w:t>), będące właścicielami bądź współwłaścicielami budynków mieszkalnych (w zakresie budynków komunalnych – z wyjątkiem budynków, których właścicielem bądź współwłaścicielem jest Skarb Państwa);</w:t>
      </w:r>
    </w:p>
    <w:p w14:paraId="533D364C" w14:textId="77777777" w:rsidR="00F247CA" w:rsidRPr="00684190" w:rsidRDefault="00F247CA" w:rsidP="005B64DD">
      <w:pPr>
        <w:pStyle w:val="Default"/>
        <w:numPr>
          <w:ilvl w:val="1"/>
          <w:numId w:val="33"/>
        </w:numPr>
        <w:spacing w:before="120" w:line="276" w:lineRule="auto"/>
        <w:rPr>
          <w:rFonts w:asciiTheme="minorHAnsi" w:hAnsiTheme="minorHAnsi" w:cstheme="minorHAnsi"/>
          <w:color w:val="auto"/>
          <w:sz w:val="22"/>
          <w:szCs w:val="22"/>
        </w:rPr>
      </w:pPr>
      <w:r w:rsidRPr="00684190">
        <w:rPr>
          <w:rFonts w:asciiTheme="minorHAnsi" w:hAnsiTheme="minorHAnsi" w:cstheme="minorHAnsi"/>
          <w:color w:val="auto"/>
          <w:sz w:val="22"/>
          <w:szCs w:val="22"/>
        </w:rPr>
        <w:t>ich związki, porozumienia i stowarzyszenia,</w:t>
      </w:r>
    </w:p>
    <w:p w14:paraId="6E58D5E7" w14:textId="77777777" w:rsidR="00F247CA" w:rsidRPr="00684190" w:rsidRDefault="00F247CA" w:rsidP="005B64DD">
      <w:pPr>
        <w:pStyle w:val="Default"/>
        <w:numPr>
          <w:ilvl w:val="1"/>
          <w:numId w:val="33"/>
        </w:numPr>
        <w:spacing w:before="120" w:line="276" w:lineRule="auto"/>
        <w:rPr>
          <w:rFonts w:asciiTheme="minorHAnsi" w:hAnsiTheme="minorHAnsi" w:cstheme="minorHAnsi"/>
          <w:color w:val="auto"/>
          <w:sz w:val="22"/>
          <w:szCs w:val="22"/>
        </w:rPr>
      </w:pPr>
      <w:r w:rsidRPr="00684190">
        <w:rPr>
          <w:rFonts w:asciiTheme="minorHAnsi" w:hAnsiTheme="minorHAnsi" w:cstheme="minorHAnsi"/>
          <w:color w:val="auto"/>
          <w:sz w:val="22"/>
          <w:szCs w:val="22"/>
        </w:rPr>
        <w:t>ich jednostki organizacyjne posiadające osobowość prawną,</w:t>
      </w:r>
    </w:p>
    <w:p w14:paraId="6112E605" w14:textId="77777777" w:rsidR="00F247CA" w:rsidRPr="00684190" w:rsidRDefault="00F247CA" w:rsidP="005B64DD">
      <w:pPr>
        <w:pStyle w:val="Default"/>
        <w:numPr>
          <w:ilvl w:val="0"/>
          <w:numId w:val="8"/>
        </w:numPr>
        <w:spacing w:before="120" w:line="276" w:lineRule="auto"/>
        <w:ind w:left="851" w:hanging="284"/>
        <w:rPr>
          <w:rFonts w:asciiTheme="minorHAnsi" w:hAnsiTheme="minorHAnsi" w:cstheme="minorHAnsi"/>
          <w:color w:val="auto"/>
          <w:sz w:val="22"/>
          <w:szCs w:val="22"/>
        </w:rPr>
      </w:pPr>
      <w:r w:rsidRPr="00684190">
        <w:rPr>
          <w:rFonts w:asciiTheme="minorHAnsi" w:hAnsiTheme="minorHAnsi" w:cstheme="minorHAnsi"/>
          <w:color w:val="auto"/>
          <w:sz w:val="22"/>
          <w:szCs w:val="22"/>
        </w:rPr>
        <w:t>społeczne inicjatywy mieszkaniowe – działające na podstawie Ustawy z dnia 26 października 1995 r. o niektórych formach popierania budownictwa mieszkaniowego;</w:t>
      </w:r>
    </w:p>
    <w:p w14:paraId="2D0F2542" w14:textId="55AFE8A3" w:rsidR="00F247CA" w:rsidRPr="00684190" w:rsidRDefault="00F247CA" w:rsidP="005B64DD">
      <w:pPr>
        <w:pStyle w:val="Default"/>
        <w:numPr>
          <w:ilvl w:val="0"/>
          <w:numId w:val="8"/>
        </w:numPr>
        <w:spacing w:before="120" w:line="276" w:lineRule="auto"/>
        <w:ind w:left="851" w:hanging="284"/>
        <w:rPr>
          <w:rFonts w:asciiTheme="minorHAnsi" w:hAnsiTheme="minorHAnsi" w:cstheme="minorHAnsi"/>
          <w:color w:val="auto"/>
          <w:sz w:val="22"/>
          <w:szCs w:val="22"/>
        </w:rPr>
      </w:pPr>
      <w:r w:rsidRPr="00684190">
        <w:rPr>
          <w:rFonts w:asciiTheme="minorHAnsi" w:hAnsiTheme="minorHAnsi" w:cstheme="minorHAnsi"/>
          <w:color w:val="auto"/>
          <w:sz w:val="22"/>
          <w:szCs w:val="22"/>
        </w:rPr>
        <w:t>osoby fizyczne prowadzące działalność gospodarczą, które są właścicielami wielorodzinnych budynków mieszkalnych</w:t>
      </w:r>
      <w:r w:rsidR="00EA4E57" w:rsidRPr="00684190">
        <w:rPr>
          <w:rFonts w:asciiTheme="minorHAnsi" w:hAnsiTheme="minorHAnsi" w:cstheme="minorHAnsi"/>
          <w:color w:val="auto"/>
          <w:sz w:val="22"/>
          <w:szCs w:val="22"/>
        </w:rPr>
        <w:t xml:space="preserve"> </w:t>
      </w:r>
      <w:r w:rsidR="000817BC" w:rsidRPr="00684190">
        <w:rPr>
          <w:rFonts w:asciiTheme="minorHAnsi" w:hAnsiTheme="minorHAnsi" w:cstheme="minorHAnsi"/>
          <w:color w:val="auto"/>
          <w:sz w:val="22"/>
          <w:szCs w:val="22"/>
        </w:rPr>
        <w:t xml:space="preserve">i jednocześnie są </w:t>
      </w:r>
      <w:r w:rsidR="00EA4E57" w:rsidRPr="00684190">
        <w:rPr>
          <w:rFonts w:asciiTheme="minorHAnsi" w:hAnsiTheme="minorHAnsi" w:cstheme="minorHAnsi"/>
          <w:color w:val="auto"/>
          <w:sz w:val="22"/>
          <w:szCs w:val="22"/>
        </w:rPr>
        <w:t>mikro lub mał</w:t>
      </w:r>
      <w:r w:rsidR="000817BC" w:rsidRPr="00684190">
        <w:rPr>
          <w:rFonts w:asciiTheme="minorHAnsi" w:hAnsiTheme="minorHAnsi" w:cstheme="minorHAnsi"/>
          <w:color w:val="auto"/>
          <w:sz w:val="22"/>
          <w:szCs w:val="22"/>
        </w:rPr>
        <w:t>ym</w:t>
      </w:r>
      <w:r w:rsidR="00EA4E57" w:rsidRPr="00684190">
        <w:rPr>
          <w:rFonts w:asciiTheme="minorHAnsi" w:hAnsiTheme="minorHAnsi" w:cstheme="minorHAnsi"/>
          <w:color w:val="auto"/>
          <w:sz w:val="22"/>
          <w:szCs w:val="22"/>
        </w:rPr>
        <w:t xml:space="preserve"> przedsiębiorstw</w:t>
      </w:r>
      <w:r w:rsidR="000817BC" w:rsidRPr="00684190">
        <w:rPr>
          <w:rFonts w:asciiTheme="minorHAnsi" w:hAnsiTheme="minorHAnsi" w:cstheme="minorHAnsi"/>
          <w:color w:val="auto"/>
          <w:sz w:val="22"/>
          <w:szCs w:val="22"/>
        </w:rPr>
        <w:t>em</w:t>
      </w:r>
      <w:r w:rsidR="00EA4E57" w:rsidRPr="00684190">
        <w:rPr>
          <w:rFonts w:asciiTheme="minorHAnsi" w:hAnsiTheme="minorHAnsi" w:cstheme="minorHAnsi"/>
          <w:color w:val="auto"/>
          <w:sz w:val="22"/>
          <w:szCs w:val="22"/>
        </w:rPr>
        <w:t xml:space="preserve"> w rozumieniu przepisów załącznika nr I Rozporządzenia Komisji (UE) nr 651/2014 z dnia 17 czerwca 2014 r. uznającego niektóre rodzaje pomocy za zgodne z rynkiem wewnętrznym w zastosowaniu art. 107 i 108 Traktatu</w:t>
      </w:r>
      <w:r w:rsidRPr="00684190">
        <w:rPr>
          <w:rFonts w:asciiTheme="minorHAnsi" w:hAnsiTheme="minorHAnsi" w:cstheme="minorHAnsi"/>
          <w:color w:val="auto"/>
          <w:sz w:val="22"/>
          <w:szCs w:val="22"/>
        </w:rPr>
        <w:t>;</w:t>
      </w:r>
    </w:p>
    <w:p w14:paraId="2A9BC107" w14:textId="77777777" w:rsidR="00616BD5" w:rsidRPr="00684190" w:rsidRDefault="00F247CA" w:rsidP="00616BD5">
      <w:pPr>
        <w:pStyle w:val="Default"/>
        <w:numPr>
          <w:ilvl w:val="0"/>
          <w:numId w:val="8"/>
        </w:numPr>
        <w:spacing w:before="120" w:line="276" w:lineRule="auto"/>
        <w:ind w:left="851" w:hanging="284"/>
        <w:rPr>
          <w:rFonts w:asciiTheme="minorHAnsi" w:hAnsiTheme="minorHAnsi" w:cstheme="minorHAnsi"/>
          <w:color w:val="auto"/>
          <w:sz w:val="22"/>
          <w:szCs w:val="22"/>
        </w:rPr>
      </w:pPr>
      <w:r w:rsidRPr="00684190">
        <w:rPr>
          <w:rFonts w:asciiTheme="minorHAnsi" w:hAnsiTheme="minorHAnsi" w:cstheme="minorHAnsi"/>
          <w:color w:val="auto"/>
          <w:sz w:val="22"/>
          <w:szCs w:val="22"/>
        </w:rPr>
        <w:t>zarządcy wielorodzinnych budynków mieszkalnych, w tym budynków komunalnych</w:t>
      </w:r>
      <w:r w:rsidR="000817BC" w:rsidRPr="00684190">
        <w:rPr>
          <w:rFonts w:asciiTheme="minorHAnsi" w:hAnsiTheme="minorHAnsi" w:cstheme="minorHAnsi"/>
          <w:color w:val="auto"/>
          <w:sz w:val="22"/>
          <w:szCs w:val="22"/>
        </w:rPr>
        <w:t>, którzy są mikro lub małym przedsiębiorstwem w rozumieniu przepisów załącznika nr I Rozporządzenia Komisji (UE) nr 651/2014 z dnia 17 czerwca 2014 r. uznającego niektóre rodzaje pomocy za zgodne z rynkiem wewnętrznym w zastosowaniu art. 107 i 108 Traktatu</w:t>
      </w:r>
      <w:r w:rsidRPr="00684190">
        <w:rPr>
          <w:rFonts w:asciiTheme="minorHAnsi" w:hAnsiTheme="minorHAnsi" w:cstheme="minorHAnsi"/>
          <w:color w:val="auto"/>
          <w:sz w:val="22"/>
          <w:szCs w:val="22"/>
        </w:rPr>
        <w:t>;</w:t>
      </w:r>
      <w:r w:rsidR="00616BD5" w:rsidRPr="00684190">
        <w:rPr>
          <w:rFonts w:asciiTheme="minorHAnsi" w:hAnsiTheme="minorHAnsi" w:cstheme="minorHAnsi"/>
          <w:color w:val="auto"/>
          <w:sz w:val="22"/>
          <w:szCs w:val="22"/>
        </w:rPr>
        <w:t xml:space="preserve"> </w:t>
      </w:r>
    </w:p>
    <w:p w14:paraId="39152DD8" w14:textId="357C7B9B" w:rsidR="00F247CA" w:rsidRPr="00684190" w:rsidRDefault="00616BD5" w:rsidP="00616BD5">
      <w:pPr>
        <w:pStyle w:val="Default"/>
        <w:numPr>
          <w:ilvl w:val="0"/>
          <w:numId w:val="8"/>
        </w:numPr>
        <w:spacing w:before="120" w:line="276" w:lineRule="auto"/>
        <w:ind w:left="851" w:hanging="284"/>
        <w:rPr>
          <w:rFonts w:asciiTheme="minorHAnsi" w:hAnsiTheme="minorHAnsi" w:cstheme="minorHAnsi"/>
          <w:color w:val="auto"/>
          <w:sz w:val="22"/>
          <w:szCs w:val="22"/>
        </w:rPr>
      </w:pPr>
      <w:r w:rsidRPr="00684190">
        <w:rPr>
          <w:rFonts w:asciiTheme="minorHAnsi" w:hAnsiTheme="minorHAnsi" w:cstheme="minorHAnsi"/>
          <w:color w:val="auto"/>
          <w:sz w:val="22"/>
          <w:szCs w:val="22"/>
        </w:rPr>
        <w:t>spółdzielnie mieszkaniowe działające na podstawie ustawy z dnia 16 września</w:t>
      </w:r>
      <w:r w:rsidR="00D72A8B" w:rsidRPr="00684190">
        <w:rPr>
          <w:rFonts w:asciiTheme="minorHAnsi" w:hAnsiTheme="minorHAnsi" w:cstheme="minorHAnsi"/>
          <w:color w:val="auto"/>
          <w:sz w:val="22"/>
          <w:szCs w:val="22"/>
        </w:rPr>
        <w:t xml:space="preserve"> </w:t>
      </w:r>
      <w:r w:rsidRPr="00684190">
        <w:rPr>
          <w:rFonts w:asciiTheme="minorHAnsi" w:hAnsiTheme="minorHAnsi" w:cstheme="minorHAnsi"/>
          <w:color w:val="auto"/>
          <w:sz w:val="22"/>
          <w:szCs w:val="22"/>
        </w:rPr>
        <w:t>1982 r. – Prawo spółdzielcze oraz ustawy z dnia 15 grudnia 2000 r. o spółdzielniach mieszkaniowych, posiadające osobowość prawną.</w:t>
      </w:r>
    </w:p>
    <w:p w14:paraId="147AE53E" w14:textId="01711A9F" w:rsidR="007E17E1" w:rsidRPr="00684190" w:rsidRDefault="007E17E1" w:rsidP="005B64DD">
      <w:pPr>
        <w:pStyle w:val="Default"/>
        <w:numPr>
          <w:ilvl w:val="0"/>
          <w:numId w:val="17"/>
        </w:numPr>
        <w:spacing w:before="120" w:line="276" w:lineRule="auto"/>
        <w:ind w:left="284" w:hanging="284"/>
        <w:jc w:val="both"/>
        <w:rPr>
          <w:rFonts w:asciiTheme="minorHAnsi" w:hAnsiTheme="minorHAnsi" w:cstheme="minorHAnsi"/>
          <w:color w:val="auto"/>
          <w:sz w:val="22"/>
          <w:szCs w:val="22"/>
        </w:rPr>
      </w:pPr>
      <w:r w:rsidRPr="00684190">
        <w:rPr>
          <w:rFonts w:asciiTheme="minorHAnsi" w:hAnsiTheme="minorHAnsi" w:cstheme="minorHAnsi"/>
          <w:color w:val="auto"/>
          <w:sz w:val="22"/>
          <w:szCs w:val="22"/>
        </w:rPr>
        <w:t>Podmioty ubiegające się o Jednostkową Pożyczkę muszą spełniać łącznie następujące kryteria:</w:t>
      </w:r>
    </w:p>
    <w:p w14:paraId="49B92EA0" w14:textId="65DE00C7" w:rsidR="007E17E1" w:rsidRPr="00684190" w:rsidRDefault="007E17E1" w:rsidP="005B64DD">
      <w:pPr>
        <w:pStyle w:val="Default"/>
        <w:spacing w:before="120" w:line="276" w:lineRule="auto"/>
        <w:ind w:left="851" w:hanging="283"/>
        <w:jc w:val="both"/>
        <w:rPr>
          <w:rStyle w:val="Odwoaniedokomentarza"/>
          <w:rFonts w:asciiTheme="minorHAnsi" w:hAnsiTheme="minorHAnsi" w:cstheme="minorHAnsi"/>
          <w:color w:val="auto"/>
          <w:sz w:val="22"/>
          <w:szCs w:val="22"/>
        </w:rPr>
      </w:pPr>
      <w:r w:rsidRPr="00684190">
        <w:rPr>
          <w:rStyle w:val="Odwoaniedokomentarza"/>
          <w:rFonts w:asciiTheme="minorHAnsi" w:hAnsiTheme="minorHAnsi" w:cstheme="minorHAnsi"/>
          <w:color w:val="auto"/>
          <w:sz w:val="22"/>
          <w:szCs w:val="22"/>
        </w:rPr>
        <w:t>1)</w:t>
      </w:r>
      <w:r w:rsidRPr="00684190">
        <w:rPr>
          <w:rStyle w:val="Odwoaniedokomentarza"/>
          <w:rFonts w:asciiTheme="minorHAnsi" w:hAnsiTheme="minorHAnsi" w:cstheme="minorHAnsi"/>
          <w:color w:val="auto"/>
          <w:sz w:val="22"/>
          <w:szCs w:val="22"/>
        </w:rPr>
        <w:tab/>
        <w:t>nie spełniają przesłanek przedsiębiorstwa znajdującego się w trudnej sytuacji w rozumieniu art. 7 ust 1 lit. d Rozporządzenia EFRR, za wyjątkiem szczególnych przypadków określonych w tym przepisie</w:t>
      </w:r>
      <w:r w:rsidR="00553257" w:rsidRPr="00684190">
        <w:rPr>
          <w:rStyle w:val="Odwoaniedokomentarza"/>
          <w:rFonts w:asciiTheme="minorHAnsi" w:hAnsiTheme="minorHAnsi" w:cstheme="minorHAnsi"/>
          <w:color w:val="auto"/>
          <w:sz w:val="22"/>
          <w:szCs w:val="22"/>
        </w:rPr>
        <w:t xml:space="preserve"> (dotyczy przedsiębiorców)</w:t>
      </w:r>
      <w:r w:rsidRPr="00684190">
        <w:rPr>
          <w:rStyle w:val="Odwoaniedokomentarza"/>
          <w:rFonts w:asciiTheme="minorHAnsi" w:hAnsiTheme="minorHAnsi" w:cstheme="minorHAnsi"/>
          <w:color w:val="auto"/>
          <w:sz w:val="22"/>
          <w:szCs w:val="22"/>
        </w:rPr>
        <w:t>;</w:t>
      </w:r>
    </w:p>
    <w:p w14:paraId="603E8551" w14:textId="77777777" w:rsidR="007E17E1" w:rsidRPr="00684190" w:rsidRDefault="007E17E1" w:rsidP="005B64DD">
      <w:pPr>
        <w:pStyle w:val="Default"/>
        <w:spacing w:before="120" w:line="276" w:lineRule="auto"/>
        <w:ind w:left="851" w:hanging="283"/>
        <w:jc w:val="both"/>
        <w:rPr>
          <w:rStyle w:val="Odwoaniedokomentarza"/>
          <w:rFonts w:asciiTheme="minorHAnsi" w:hAnsiTheme="minorHAnsi" w:cstheme="minorHAnsi"/>
          <w:color w:val="auto"/>
          <w:sz w:val="22"/>
          <w:szCs w:val="22"/>
        </w:rPr>
      </w:pPr>
      <w:r w:rsidRPr="00684190">
        <w:rPr>
          <w:rStyle w:val="Odwoaniedokomentarza"/>
          <w:rFonts w:asciiTheme="minorHAnsi" w:hAnsiTheme="minorHAnsi" w:cstheme="minorHAnsi"/>
          <w:color w:val="auto"/>
          <w:sz w:val="22"/>
          <w:szCs w:val="22"/>
        </w:rPr>
        <w:lastRenderedPageBreak/>
        <w:t>2)</w:t>
      </w:r>
      <w:r w:rsidRPr="00684190">
        <w:rPr>
          <w:rStyle w:val="Odwoaniedokomentarza"/>
          <w:rFonts w:asciiTheme="minorHAnsi" w:hAnsiTheme="minorHAnsi" w:cstheme="minorHAnsi"/>
          <w:color w:val="auto"/>
          <w:sz w:val="22"/>
          <w:szCs w:val="22"/>
        </w:rPr>
        <w:tab/>
        <w:t>nie są podmiotami powiązanymi osobowo lub kapitałowo z Partnerem Finansującym, w rozumieniu § 24 ust. 4 Umowy;</w:t>
      </w:r>
    </w:p>
    <w:p w14:paraId="7F431104" w14:textId="77777777" w:rsidR="00A111C7" w:rsidRPr="00684190" w:rsidRDefault="007E17E1" w:rsidP="005B64DD">
      <w:pPr>
        <w:pStyle w:val="Default"/>
        <w:spacing w:before="120" w:line="276" w:lineRule="auto"/>
        <w:ind w:left="851" w:hanging="283"/>
        <w:jc w:val="both"/>
        <w:rPr>
          <w:rStyle w:val="Odwoaniedokomentarza"/>
          <w:rFonts w:asciiTheme="minorHAnsi" w:hAnsiTheme="minorHAnsi" w:cstheme="minorHAnsi"/>
          <w:color w:val="auto"/>
          <w:sz w:val="22"/>
          <w:szCs w:val="22"/>
        </w:rPr>
      </w:pPr>
      <w:r w:rsidRPr="00684190">
        <w:rPr>
          <w:rStyle w:val="Odwoaniedokomentarza"/>
          <w:rFonts w:asciiTheme="minorHAnsi" w:hAnsiTheme="minorHAnsi" w:cstheme="minorHAnsi"/>
          <w:color w:val="auto"/>
          <w:sz w:val="22"/>
          <w:szCs w:val="22"/>
        </w:rPr>
        <w:t>3)</w:t>
      </w:r>
      <w:r w:rsidRPr="00684190">
        <w:rPr>
          <w:rStyle w:val="Odwoaniedokomentarza"/>
          <w:rFonts w:asciiTheme="minorHAnsi" w:hAnsiTheme="minorHAnsi" w:cstheme="minorHAnsi"/>
          <w:color w:val="auto"/>
          <w:sz w:val="22"/>
          <w:szCs w:val="22"/>
        </w:rPr>
        <w:tab/>
        <w:t>posiadają tytuł prawny do nieruchomości, na terenie której realizowana będzie Inwestycja Końcowa</w:t>
      </w:r>
      <w:r w:rsidR="00A111C7" w:rsidRPr="00684190">
        <w:rPr>
          <w:rStyle w:val="Odwoaniedokomentarza"/>
          <w:rFonts w:asciiTheme="minorHAnsi" w:hAnsiTheme="minorHAnsi" w:cstheme="minorHAnsi"/>
          <w:color w:val="auto"/>
          <w:sz w:val="22"/>
          <w:szCs w:val="22"/>
        </w:rPr>
        <w:t>;</w:t>
      </w:r>
    </w:p>
    <w:p w14:paraId="64B93B69" w14:textId="54C6A86A" w:rsidR="0063498C" w:rsidRPr="00684190" w:rsidRDefault="0063498C" w:rsidP="005B64DD">
      <w:pPr>
        <w:pStyle w:val="Default"/>
        <w:numPr>
          <w:ilvl w:val="0"/>
          <w:numId w:val="23"/>
        </w:numPr>
        <w:spacing w:before="120" w:line="276" w:lineRule="auto"/>
        <w:ind w:left="851" w:hanging="283"/>
        <w:jc w:val="both"/>
        <w:rPr>
          <w:rStyle w:val="Odwoaniedokomentarza"/>
          <w:rFonts w:asciiTheme="minorHAnsi" w:hAnsiTheme="minorHAnsi" w:cstheme="minorHAnsi"/>
          <w:color w:val="auto"/>
          <w:sz w:val="22"/>
          <w:szCs w:val="22"/>
        </w:rPr>
      </w:pPr>
      <w:r w:rsidRPr="00684190">
        <w:rPr>
          <w:rStyle w:val="Odwoaniedokomentarza"/>
          <w:rFonts w:asciiTheme="minorHAnsi" w:hAnsiTheme="minorHAnsi" w:cstheme="minorHAnsi"/>
          <w:color w:val="auto"/>
          <w:sz w:val="22"/>
          <w:szCs w:val="22"/>
        </w:rPr>
        <w:t xml:space="preserve">najpóźniej w dniu zawarcia Umowy Inwestycyjnej posiadają w województwie </w:t>
      </w:r>
      <w:r w:rsidR="002345C5" w:rsidRPr="00684190">
        <w:rPr>
          <w:rStyle w:val="Odwoaniedokomentarza"/>
          <w:rFonts w:asciiTheme="minorHAnsi" w:hAnsiTheme="minorHAnsi" w:cstheme="minorHAnsi"/>
          <w:color w:val="auto"/>
          <w:sz w:val="22"/>
          <w:szCs w:val="22"/>
        </w:rPr>
        <w:t>świętokrzyski</w:t>
      </w:r>
      <w:r w:rsidR="00A3739F" w:rsidRPr="00684190">
        <w:rPr>
          <w:rStyle w:val="Odwoaniedokomentarza"/>
          <w:rFonts w:asciiTheme="minorHAnsi" w:hAnsiTheme="minorHAnsi" w:cstheme="minorHAnsi"/>
          <w:color w:val="auto"/>
          <w:sz w:val="22"/>
          <w:szCs w:val="22"/>
        </w:rPr>
        <w:t>m</w:t>
      </w:r>
      <w:r w:rsidRPr="00684190">
        <w:rPr>
          <w:rStyle w:val="Odwoaniedokomentarza"/>
          <w:rFonts w:asciiTheme="minorHAnsi" w:hAnsiTheme="minorHAnsi" w:cstheme="minorHAnsi"/>
          <w:color w:val="auto"/>
          <w:sz w:val="22"/>
          <w:szCs w:val="22"/>
        </w:rPr>
        <w:t xml:space="preserve"> siedzibę lub oddział, zgodnie z wpisem </w:t>
      </w:r>
      <w:r w:rsidR="00494FE3" w:rsidRPr="00684190">
        <w:rPr>
          <w:rStyle w:val="Odwoaniedokomentarza"/>
          <w:rFonts w:asciiTheme="minorHAnsi" w:hAnsiTheme="minorHAnsi" w:cstheme="minorHAnsi"/>
          <w:color w:val="auto"/>
          <w:sz w:val="22"/>
          <w:szCs w:val="22"/>
        </w:rPr>
        <w:t xml:space="preserve">w Krajowym Rejestrze Sądowym lub innym właściwym rejestrze prowadzonym dla danego typu podmiotu (jeśli dotyczy) </w:t>
      </w:r>
      <w:r w:rsidRPr="00684190">
        <w:rPr>
          <w:rStyle w:val="Odwoaniedokomentarza"/>
          <w:rFonts w:asciiTheme="minorHAnsi" w:hAnsiTheme="minorHAnsi" w:cstheme="minorHAnsi"/>
          <w:color w:val="auto"/>
          <w:sz w:val="22"/>
          <w:szCs w:val="22"/>
        </w:rPr>
        <w:t xml:space="preserve">albo stałe lub dodatkowe stałe miejsce wykonywania działalności gospodarczej, zgodnie z wpisem do Centralnej Ewidencji i Informacji o Działalności Gospodarczej; </w:t>
      </w:r>
    </w:p>
    <w:p w14:paraId="77EA9EC3" w14:textId="4553B72A" w:rsidR="00695F4B" w:rsidRPr="00684190" w:rsidRDefault="0056657C" w:rsidP="005B64DD">
      <w:pPr>
        <w:pStyle w:val="Default"/>
        <w:numPr>
          <w:ilvl w:val="0"/>
          <w:numId w:val="23"/>
        </w:numPr>
        <w:spacing w:before="120" w:line="276" w:lineRule="auto"/>
        <w:ind w:left="851" w:hanging="283"/>
        <w:jc w:val="both"/>
        <w:rPr>
          <w:rStyle w:val="Odwoaniedokomentarza"/>
          <w:rFonts w:asciiTheme="minorHAnsi" w:hAnsiTheme="minorHAnsi" w:cstheme="minorHAnsi"/>
          <w:color w:val="auto"/>
          <w:sz w:val="22"/>
          <w:szCs w:val="22"/>
        </w:rPr>
      </w:pPr>
      <w:r w:rsidRPr="00684190">
        <w:rPr>
          <w:rStyle w:val="Odwoaniedokomentarza"/>
          <w:rFonts w:asciiTheme="minorHAnsi" w:hAnsiTheme="minorHAnsi" w:cstheme="minorHAnsi"/>
          <w:color w:val="auto"/>
          <w:sz w:val="22"/>
          <w:szCs w:val="22"/>
        </w:rPr>
        <w:t>nie podlegają środkom</w:t>
      </w:r>
      <w:r w:rsidR="006F4073" w:rsidRPr="00684190">
        <w:rPr>
          <w:rStyle w:val="Odwoaniedokomentarza"/>
          <w:rFonts w:asciiTheme="minorHAnsi" w:hAnsiTheme="minorHAnsi" w:cstheme="minorHAnsi"/>
          <w:color w:val="auto"/>
          <w:sz w:val="22"/>
          <w:szCs w:val="22"/>
        </w:rPr>
        <w:t>,</w:t>
      </w:r>
      <w:r w:rsidRPr="00684190">
        <w:rPr>
          <w:rStyle w:val="Odwoaniedokomentarza"/>
          <w:rFonts w:asciiTheme="minorHAnsi" w:hAnsiTheme="minorHAnsi" w:cstheme="minorHAnsi"/>
          <w:color w:val="auto"/>
          <w:sz w:val="22"/>
          <w:szCs w:val="22"/>
        </w:rPr>
        <w:t xml:space="preserve"> o których mowa w art. 1 ustawy z dnia 13 kwietnia 2022 r. o szczególnych rozwiązaniach w zakresie przeciwdziałania wspieraniu agresji na Ukrainę oraz służących ochronie bezpieczeństwa narodowego (Dz. U. 2023 poz. 1497 z </w:t>
      </w:r>
      <w:proofErr w:type="spellStart"/>
      <w:r w:rsidRPr="00684190">
        <w:rPr>
          <w:rStyle w:val="Odwoaniedokomentarza"/>
          <w:rFonts w:asciiTheme="minorHAnsi" w:hAnsiTheme="minorHAnsi" w:cstheme="minorHAnsi"/>
          <w:color w:val="auto"/>
          <w:sz w:val="22"/>
          <w:szCs w:val="22"/>
        </w:rPr>
        <w:t>późń</w:t>
      </w:r>
      <w:proofErr w:type="spellEnd"/>
      <w:r w:rsidRPr="00684190">
        <w:rPr>
          <w:rStyle w:val="Odwoaniedokomentarza"/>
          <w:rFonts w:asciiTheme="minorHAnsi" w:hAnsiTheme="minorHAnsi" w:cstheme="minorHAnsi"/>
          <w:color w:val="auto"/>
          <w:sz w:val="22"/>
          <w:szCs w:val="22"/>
        </w:rPr>
        <w:t xml:space="preserve">. zm.) polegającym na zakazie udostępniania osobie lub podmiotowi lub na ich rzecz – bezpośrednio lub pośrednio </w:t>
      </w:r>
      <w:r w:rsidR="006366F7" w:rsidRPr="00684190">
        <w:rPr>
          <w:rStyle w:val="Odwoaniedokomentarza"/>
          <w:rFonts w:asciiTheme="minorHAnsi" w:hAnsiTheme="minorHAnsi" w:cstheme="minorHAnsi"/>
          <w:color w:val="auto"/>
          <w:sz w:val="22"/>
          <w:szCs w:val="22"/>
        </w:rPr>
        <w:t>–</w:t>
      </w:r>
      <w:r w:rsidRPr="00684190">
        <w:rPr>
          <w:rStyle w:val="Odwoaniedokomentarza"/>
          <w:rFonts w:asciiTheme="minorHAnsi" w:hAnsiTheme="minorHAnsi" w:cstheme="minorHAnsi"/>
          <w:color w:val="auto"/>
          <w:sz w:val="22"/>
          <w:szCs w:val="22"/>
        </w:rPr>
        <w:t xml:space="preserve"> jakichkolwiek środków finansowych lub zasobów gospodarczych</w:t>
      </w:r>
      <w:r w:rsidR="00695F4B" w:rsidRPr="00684190">
        <w:rPr>
          <w:rStyle w:val="Odwoaniedokomentarza"/>
          <w:rFonts w:asciiTheme="minorHAnsi" w:hAnsiTheme="minorHAnsi" w:cstheme="minorHAnsi"/>
          <w:color w:val="auto"/>
          <w:sz w:val="22"/>
          <w:szCs w:val="22"/>
        </w:rPr>
        <w:t>.</w:t>
      </w:r>
    </w:p>
    <w:p w14:paraId="57E4A786" w14:textId="694F7B9B" w:rsidR="001327AA" w:rsidRPr="00684190" w:rsidRDefault="001327AA" w:rsidP="005B64DD">
      <w:pPr>
        <w:pStyle w:val="Nagwek1"/>
        <w:spacing w:before="120"/>
        <w:rPr>
          <w:rFonts w:asciiTheme="minorHAnsi" w:hAnsiTheme="minorHAnsi" w:cstheme="minorHAnsi"/>
          <w:color w:val="auto"/>
        </w:rPr>
      </w:pPr>
      <w:r w:rsidRPr="00684190">
        <w:rPr>
          <w:rFonts w:asciiTheme="minorHAnsi" w:hAnsiTheme="minorHAnsi" w:cstheme="minorHAnsi"/>
          <w:color w:val="auto"/>
        </w:rPr>
        <w:t xml:space="preserve">Część </w:t>
      </w:r>
      <w:r w:rsidR="001873BA" w:rsidRPr="00684190">
        <w:rPr>
          <w:rFonts w:asciiTheme="minorHAnsi" w:hAnsiTheme="minorHAnsi" w:cstheme="minorHAnsi"/>
          <w:color w:val="auto"/>
        </w:rPr>
        <w:t>VII</w:t>
      </w:r>
      <w:r w:rsidRPr="00684190">
        <w:rPr>
          <w:rFonts w:asciiTheme="minorHAnsi" w:hAnsiTheme="minorHAnsi" w:cstheme="minorHAnsi"/>
          <w:color w:val="auto"/>
        </w:rPr>
        <w:t xml:space="preserve"> Podstawowe zasady </w:t>
      </w:r>
      <w:r w:rsidR="006E708E" w:rsidRPr="00684190">
        <w:rPr>
          <w:rFonts w:asciiTheme="minorHAnsi" w:hAnsiTheme="minorHAnsi" w:cstheme="minorHAnsi"/>
          <w:color w:val="auto"/>
        </w:rPr>
        <w:t>udzielania Jednostkowej Pożyczki</w:t>
      </w:r>
    </w:p>
    <w:p w14:paraId="2A0C69B4" w14:textId="7EA032C1" w:rsidR="006E708E" w:rsidRPr="00684190" w:rsidRDefault="006E708E" w:rsidP="005B64DD">
      <w:pPr>
        <w:pStyle w:val="Akapitzlist"/>
        <w:numPr>
          <w:ilvl w:val="0"/>
          <w:numId w:val="4"/>
        </w:numPr>
        <w:tabs>
          <w:tab w:val="clear" w:pos="785"/>
          <w:tab w:val="num" w:pos="567"/>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Wnioskodawca składając Wniosek proponuje formę zabezpieczenia spośród katalogu stosowanego przez Partnera Finansującego. Przyjęte zabezpieczenia są adekwatne do wartości Jednostkowej Pożyczki, a także przedmiotu i charakteru Inwestycji Końcowej, formy prawnej Ostatecznego Odbiorcy i jego działalności oraz wyników oceny Wniosku. Przykładowo zabezpieczeniem może być weksel własny in blanco Ostatecznego Odbiorcy wraz z innymi zabezpieczeniami zaakceptowanymi przez Partnera Finansującego, np.:</w:t>
      </w:r>
    </w:p>
    <w:p w14:paraId="5A80F99B" w14:textId="7C4C427B" w:rsidR="00C539AA" w:rsidRPr="00684190" w:rsidRDefault="006E708E" w:rsidP="005B64DD">
      <w:pPr>
        <w:pStyle w:val="Akapitzlist"/>
        <w:numPr>
          <w:ilvl w:val="3"/>
          <w:numId w:val="19"/>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przelew (cesja) praw z polisy ubezpieczeniowej nieruchomości będąc</w:t>
      </w:r>
      <w:r w:rsidR="00C539AA" w:rsidRPr="00684190">
        <w:rPr>
          <w:rFonts w:asciiTheme="minorHAnsi" w:hAnsiTheme="minorHAnsi" w:cstheme="minorHAnsi"/>
        </w:rPr>
        <w:t>ej</w:t>
      </w:r>
      <w:r w:rsidRPr="00684190">
        <w:rPr>
          <w:rFonts w:asciiTheme="minorHAnsi" w:hAnsiTheme="minorHAnsi" w:cstheme="minorHAnsi"/>
        </w:rPr>
        <w:t xml:space="preserve"> przedmiotem Inwestycji Końcowej;</w:t>
      </w:r>
    </w:p>
    <w:p w14:paraId="1BD6B706" w14:textId="06F75B94" w:rsidR="00C539AA" w:rsidRPr="00684190" w:rsidRDefault="00C539AA" w:rsidP="005B64DD">
      <w:pPr>
        <w:pStyle w:val="Akapitzlist"/>
        <w:numPr>
          <w:ilvl w:val="3"/>
          <w:numId w:val="19"/>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przelew wierzytelności z wpłat na fundusz remontowy</w:t>
      </w:r>
    </w:p>
    <w:p w14:paraId="642BC33D" w14:textId="77777777" w:rsidR="006E708E" w:rsidRPr="00684190" w:rsidRDefault="006E708E" w:rsidP="005B64DD">
      <w:pPr>
        <w:pStyle w:val="Akapitzlist"/>
        <w:numPr>
          <w:ilvl w:val="3"/>
          <w:numId w:val="19"/>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pełnomocnictwo/upoważnienie do rachunku bankowego;</w:t>
      </w:r>
    </w:p>
    <w:p w14:paraId="7DEDDB84" w14:textId="77777777" w:rsidR="006E708E" w:rsidRPr="00684190" w:rsidRDefault="006E708E" w:rsidP="005B64DD">
      <w:pPr>
        <w:pStyle w:val="Akapitzlist"/>
        <w:numPr>
          <w:ilvl w:val="3"/>
          <w:numId w:val="19"/>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inne, zgodne z praktyką rynkową (np.: hipoteka na nieruchomości</w:t>
      </w:r>
      <w:r w:rsidRPr="00684190">
        <w:rPr>
          <w:rFonts w:asciiTheme="minorHAnsi" w:hAnsiTheme="minorHAnsi" w:cstheme="minorHAnsi"/>
          <w:vertAlign w:val="superscript"/>
        </w:rPr>
        <w:footnoteReference w:id="7"/>
      </w:r>
      <w:r w:rsidRPr="00684190">
        <w:rPr>
          <w:rFonts w:asciiTheme="minorHAnsi" w:hAnsiTheme="minorHAnsi" w:cstheme="minorHAnsi"/>
        </w:rPr>
        <w:t>, zastaw rejestrowy, przelew (cesja) wierzytelności z umowy najmu lub innych umów, gwarancja bankowa, poręczenie, oświadczenie o poddaniu się egzekucji w trybie aktu notarialnego).</w:t>
      </w:r>
    </w:p>
    <w:p w14:paraId="4A45196D" w14:textId="5EC3FBE2" w:rsidR="00805869" w:rsidRPr="00684190" w:rsidRDefault="00805869" w:rsidP="005B64DD">
      <w:pPr>
        <w:pStyle w:val="Akapitzlist"/>
        <w:spacing w:before="120" w:after="0"/>
        <w:ind w:left="785"/>
        <w:contextualSpacing w:val="0"/>
        <w:jc w:val="both"/>
        <w:rPr>
          <w:rFonts w:asciiTheme="minorHAnsi" w:hAnsiTheme="minorHAnsi" w:cstheme="minorHAnsi"/>
        </w:rPr>
      </w:pPr>
      <w:r w:rsidRPr="00684190">
        <w:rPr>
          <w:rFonts w:asciiTheme="minorHAnsi" w:hAnsiTheme="minorHAnsi" w:cstheme="minorHAnsi"/>
        </w:rPr>
        <w:t>W przypadku jednostek samorządu terytorialnego wystarczającym zabezpieczeniem spłaty Jednostkowej Pożyczki może być weksel własny in blanco składany z deklaracją wekslową opatrzoną kontrasygnatą skarbnika.</w:t>
      </w:r>
    </w:p>
    <w:p w14:paraId="3EE06D46" w14:textId="2C2BF254" w:rsidR="006E708E" w:rsidRPr="00684190" w:rsidRDefault="006E708E" w:rsidP="005B64DD">
      <w:pPr>
        <w:pStyle w:val="Akapitzlist"/>
        <w:numPr>
          <w:ilvl w:val="0"/>
          <w:numId w:val="4"/>
        </w:numPr>
        <w:tabs>
          <w:tab w:val="clear" w:pos="785"/>
          <w:tab w:val="num" w:pos="284"/>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Ustanowienie zabezpieczenia Jednostkowej Pożyczki jest obowiązkowe i stanowi warunek jej </w:t>
      </w:r>
      <w:r w:rsidR="00756F12" w:rsidRPr="00684190">
        <w:rPr>
          <w:rFonts w:asciiTheme="minorHAnsi" w:hAnsiTheme="minorHAnsi" w:cstheme="minorHAnsi"/>
        </w:rPr>
        <w:t>uruchomienia</w:t>
      </w:r>
      <w:r w:rsidR="004A2851" w:rsidRPr="00684190">
        <w:rPr>
          <w:rFonts w:asciiTheme="minorHAnsi" w:hAnsiTheme="minorHAnsi" w:cstheme="minorHAnsi"/>
        </w:rPr>
        <w:t xml:space="preserve">, z zastrzeżeniem pkt </w:t>
      </w:r>
      <w:r w:rsidR="00FB54DC" w:rsidRPr="00684190">
        <w:rPr>
          <w:rFonts w:asciiTheme="minorHAnsi" w:hAnsiTheme="minorHAnsi" w:cstheme="minorHAnsi"/>
        </w:rPr>
        <w:t>3</w:t>
      </w:r>
      <w:r w:rsidRPr="00684190">
        <w:rPr>
          <w:rFonts w:asciiTheme="minorHAnsi" w:hAnsiTheme="minorHAnsi" w:cstheme="minorHAnsi"/>
        </w:rPr>
        <w:t>.</w:t>
      </w:r>
    </w:p>
    <w:p w14:paraId="42CCFD62" w14:textId="77777777" w:rsidR="006E708E" w:rsidRPr="00684190" w:rsidRDefault="006E708E" w:rsidP="005B64DD">
      <w:pPr>
        <w:pStyle w:val="Akapitzlist"/>
        <w:numPr>
          <w:ilvl w:val="0"/>
          <w:numId w:val="4"/>
        </w:numPr>
        <w:tabs>
          <w:tab w:val="clear" w:pos="785"/>
          <w:tab w:val="num" w:pos="284"/>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Wypłata Jednostkowej Pożyczki następuje, co do zasady, po ustanowieniu zabezpieczeń jej spłaty. W przypadku, gdy specyfika przeznaczenia Jednostkowej Pożyczki nie pozwala na ustanowienie zabezpieczenia przed wypłatą środków pożyczki (np. zabezpieczenie na przedmiocie finansowania może być ustanowione wyłącznie po zapłacie za ten przedmiot), Partner Finansujący może zrealizować wypłatę na rzecz kontrahenta Ostatecznego Odbiorcy na podstawie przedłożonej mu faktury lub </w:t>
      </w:r>
      <w:r w:rsidRPr="00684190">
        <w:rPr>
          <w:rFonts w:asciiTheme="minorHAnsi" w:hAnsiTheme="minorHAnsi" w:cstheme="minorHAnsi"/>
        </w:rPr>
        <w:lastRenderedPageBreak/>
        <w:t>dokumentu o równoważnej wartości dowodowej, z zastrzeżeniem obowiązku ustanowienia ww. zabezpieczenia niezwłocznie po tym jak stanie się to możliwe, lub zobowiązuje Ostatecznego Odbiorcę do ustanowienia zabezpieczenia przejściowego do czasu ustanowienia zabezpieczenia docelowego. Decyzja w tym zakresie należy do Partnera Finansującego, który indywidualnie ocenia każdy przypadek.</w:t>
      </w:r>
    </w:p>
    <w:p w14:paraId="4D21621B" w14:textId="77777777" w:rsidR="006E708E" w:rsidRPr="00684190" w:rsidRDefault="006E708E" w:rsidP="005B64DD">
      <w:pPr>
        <w:pStyle w:val="Akapitzlist"/>
        <w:numPr>
          <w:ilvl w:val="0"/>
          <w:numId w:val="4"/>
        </w:numPr>
        <w:tabs>
          <w:tab w:val="clear" w:pos="785"/>
          <w:tab w:val="num" w:pos="284"/>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Udzielenie Jednostkowej Pożyczki nie może być uzależnione od zawarcia przez Ostatecznego Odbiorcę z Partnerem Finansującym ani z podmiotem partnerskim lub powiązanym w stosunku do Partnera Finansującego dodatkowych umów, w szczególności na zakup dodatkowych usług, produktów finansowych lub ubezpieczeniowych. Powyższe nie dotyczy powszechnie występujących na rynku oraz standardowo stosowanych przez Partnera Finansującego zabezpieczeń, ustanawianych przez Ostatecznego Odbiorcę na rzecz Partnera Finansującego w związku z zawieraną Umową Inwestycyjną, z zastrzeżeniem, iż w przypadku zabezpieczenia takiego jak cesja praw z polisy ubezpieczeniowej Ostateczny Odbiorca ma możliwość wyboru oferty spośród ubezpieczycieli dostępnych na rynku.</w:t>
      </w:r>
    </w:p>
    <w:p w14:paraId="595C7F61" w14:textId="6410EFA8" w:rsidR="0025568F" w:rsidRPr="00684190" w:rsidRDefault="0025568F" w:rsidP="005B64DD">
      <w:pPr>
        <w:pStyle w:val="Akapitzlist"/>
        <w:numPr>
          <w:ilvl w:val="0"/>
          <w:numId w:val="4"/>
        </w:numPr>
        <w:tabs>
          <w:tab w:val="clear" w:pos="785"/>
          <w:tab w:val="num" w:pos="567"/>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Termin na uruchomienie Jednostkowej Pożyczki (rozumiane jako pierwsza płatność do Ostatecznego Odbiorcy lub do kontrahenta) wynosi </w:t>
      </w:r>
      <w:r w:rsidR="007365F2" w:rsidRPr="00684190">
        <w:rPr>
          <w:rFonts w:asciiTheme="minorHAnsi" w:hAnsiTheme="minorHAnsi" w:cstheme="minorHAnsi"/>
        </w:rPr>
        <w:t xml:space="preserve">90 </w:t>
      </w:r>
      <w:r w:rsidRPr="00684190">
        <w:rPr>
          <w:rFonts w:asciiTheme="minorHAnsi" w:hAnsiTheme="minorHAnsi" w:cstheme="minorHAnsi"/>
        </w:rPr>
        <w:t>dni od dnia zawarcia Umowy Inwestycyjnej.</w:t>
      </w:r>
    </w:p>
    <w:p w14:paraId="4C8F8960" w14:textId="7A54E3E7" w:rsidR="0025568F" w:rsidRPr="00684190" w:rsidRDefault="0025568F" w:rsidP="005B64DD">
      <w:pPr>
        <w:pStyle w:val="Akapitzlist"/>
        <w:numPr>
          <w:ilvl w:val="0"/>
          <w:numId w:val="4"/>
        </w:numPr>
        <w:tabs>
          <w:tab w:val="clear" w:pos="785"/>
          <w:tab w:val="num" w:pos="567"/>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Wydatkowanie wszystkich środków Jednostkowej Pożyczki na przewidziane cele (bez względu na sposób uruchamiania pożyczki) musi zostać należycie udokumentowane w terminie </w:t>
      </w:r>
      <w:r w:rsidR="007365F2" w:rsidRPr="00684190">
        <w:rPr>
          <w:rFonts w:asciiTheme="minorHAnsi" w:hAnsiTheme="minorHAnsi" w:cstheme="minorHAnsi"/>
        </w:rPr>
        <w:t xml:space="preserve">180 </w:t>
      </w:r>
      <w:r w:rsidRPr="00684190">
        <w:rPr>
          <w:rFonts w:asciiTheme="minorHAnsi" w:hAnsiTheme="minorHAnsi" w:cstheme="minorHAnsi"/>
        </w:rPr>
        <w:t xml:space="preserve">dni od dnia uruchomienia Jednostkowej Pożyczki (w rozumieniu wskazanym w pkt </w:t>
      </w:r>
      <w:r w:rsidR="00F33734" w:rsidRPr="00684190">
        <w:rPr>
          <w:rFonts w:asciiTheme="minorHAnsi" w:hAnsiTheme="minorHAnsi" w:cstheme="minorHAnsi"/>
        </w:rPr>
        <w:t>15</w:t>
      </w:r>
      <w:r w:rsidRPr="00684190">
        <w:rPr>
          <w:rFonts w:asciiTheme="minorHAnsi" w:hAnsiTheme="minorHAnsi" w:cstheme="minorHAnsi"/>
        </w:rPr>
        <w:t xml:space="preserve">), przy czym termin ten określa datę końcową, do której mogą być wystawiane </w:t>
      </w:r>
      <w:r w:rsidR="00994AA0" w:rsidRPr="00684190">
        <w:rPr>
          <w:rFonts w:asciiTheme="minorHAnsi" w:hAnsiTheme="minorHAnsi" w:cstheme="minorHAnsi"/>
        </w:rPr>
        <w:t xml:space="preserve">i opłacone </w:t>
      </w:r>
      <w:r w:rsidRPr="00684190">
        <w:rPr>
          <w:rFonts w:asciiTheme="minorHAnsi" w:hAnsiTheme="minorHAnsi" w:cstheme="minorHAnsi"/>
        </w:rPr>
        <w:t xml:space="preserve">dokumenty potwierdzające wydatkowanie środków. W wyjątkowych i odpowiednio uzasadnionych przypadkach, w tym biorąc pod uwagę charakter Inwestycji Końcowej, na wniosek Ostatecznego Odbiorcy, Partner Finansujący może wydłużyć ten termin maksymalnie o </w:t>
      </w:r>
      <w:r w:rsidR="00604CE1" w:rsidRPr="00684190">
        <w:rPr>
          <w:rFonts w:asciiTheme="minorHAnsi" w:hAnsiTheme="minorHAnsi" w:cstheme="minorHAnsi"/>
        </w:rPr>
        <w:t xml:space="preserve">90 </w:t>
      </w:r>
      <w:r w:rsidRPr="00684190">
        <w:rPr>
          <w:rFonts w:asciiTheme="minorHAnsi" w:hAnsiTheme="minorHAnsi" w:cstheme="minorHAnsi"/>
        </w:rPr>
        <w:t xml:space="preserve">dni. </w:t>
      </w:r>
      <w:r w:rsidR="00604CE1" w:rsidRPr="00684190">
        <w:rPr>
          <w:rFonts w:asciiTheme="minorHAnsi" w:hAnsiTheme="minorHAnsi" w:cstheme="minorHAnsi"/>
        </w:rPr>
        <w:t xml:space="preserve">Ustalenie </w:t>
      </w:r>
      <w:r w:rsidRPr="00684190">
        <w:rPr>
          <w:rFonts w:asciiTheme="minorHAnsi" w:hAnsiTheme="minorHAnsi" w:cstheme="minorHAnsi"/>
        </w:rPr>
        <w:t xml:space="preserve">terminu rozliczenia środków </w:t>
      </w:r>
      <w:r w:rsidR="00717FE0" w:rsidRPr="00684190">
        <w:rPr>
          <w:rFonts w:asciiTheme="minorHAnsi" w:hAnsiTheme="minorHAnsi" w:cstheme="minorHAnsi"/>
        </w:rPr>
        <w:t xml:space="preserve">na </w:t>
      </w:r>
      <w:r w:rsidRPr="00684190">
        <w:rPr>
          <w:rFonts w:asciiTheme="minorHAnsi" w:hAnsiTheme="minorHAnsi" w:cstheme="minorHAnsi"/>
        </w:rPr>
        <w:t xml:space="preserve">więcej niż </w:t>
      </w:r>
      <w:r w:rsidR="00604CE1" w:rsidRPr="00684190">
        <w:rPr>
          <w:rFonts w:asciiTheme="minorHAnsi" w:hAnsiTheme="minorHAnsi" w:cstheme="minorHAnsi"/>
        </w:rPr>
        <w:t xml:space="preserve">270 </w:t>
      </w:r>
      <w:r w:rsidRPr="00684190">
        <w:rPr>
          <w:rFonts w:asciiTheme="minorHAnsi" w:hAnsiTheme="minorHAnsi" w:cstheme="minorHAnsi"/>
        </w:rPr>
        <w:t xml:space="preserve">dni może nastąpić jedynie za pisemną zgodą Menadżera, na wniosek Partnera Finansującego. </w:t>
      </w:r>
    </w:p>
    <w:p w14:paraId="31BA544A" w14:textId="1ED3178E" w:rsidR="006E277B" w:rsidRPr="00684190" w:rsidRDefault="0025568F" w:rsidP="005B64DD">
      <w:pPr>
        <w:pStyle w:val="Akapitzlist"/>
        <w:numPr>
          <w:ilvl w:val="0"/>
          <w:numId w:val="4"/>
        </w:numPr>
        <w:tabs>
          <w:tab w:val="clear" w:pos="785"/>
          <w:tab w:val="num" w:pos="567"/>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Dokumentem potwierdzającym </w:t>
      </w:r>
      <w:bookmarkStart w:id="6" w:name="_Hlk160088336"/>
      <w:r w:rsidRPr="00684190">
        <w:rPr>
          <w:rFonts w:asciiTheme="minorHAnsi" w:hAnsiTheme="minorHAnsi" w:cstheme="minorHAnsi"/>
        </w:rPr>
        <w:t>wydatkowanie środków zgodnie z przeznaczeniem, na jakie zostały przyznane</w:t>
      </w:r>
      <w:bookmarkEnd w:id="6"/>
      <w:r w:rsidRPr="00684190">
        <w:rPr>
          <w:rFonts w:asciiTheme="minorHAnsi" w:hAnsiTheme="minorHAnsi" w:cstheme="minorHAnsi"/>
        </w:rPr>
        <w:t xml:space="preserve"> jest faktura lub dokument księgowy o równoważnej wartości dowodowej, wraz z dokumentem</w:t>
      </w:r>
      <w:r w:rsidR="00E435B1" w:rsidRPr="00684190">
        <w:rPr>
          <w:rFonts w:asciiTheme="minorHAnsi" w:hAnsiTheme="minorHAnsi" w:cstheme="minorHAnsi"/>
        </w:rPr>
        <w:t>/dowodem</w:t>
      </w:r>
      <w:r w:rsidRPr="00684190">
        <w:rPr>
          <w:rFonts w:asciiTheme="minorHAnsi" w:hAnsiTheme="minorHAnsi" w:cstheme="minorHAnsi"/>
        </w:rPr>
        <w:t xml:space="preserve"> potwierdzającym dokonanie zapłaty. </w:t>
      </w:r>
      <w:r w:rsidR="006E277B" w:rsidRPr="00684190">
        <w:rPr>
          <w:rFonts w:asciiTheme="minorHAnsi" w:hAnsiTheme="minorHAnsi" w:cstheme="minorHAnsi"/>
        </w:rPr>
        <w:t>Dokument, o którym mowa w zdaniu poprzednim powinien być wystawiony nie wcześniej niż w dniu złożenia wniosku o udzielenie Jednostkowej Pożyczki, z zastrzeżeniem spełnienia warunku określonego w Części I</w:t>
      </w:r>
      <w:r w:rsidR="001518F7" w:rsidRPr="00684190">
        <w:rPr>
          <w:rFonts w:asciiTheme="minorHAnsi" w:hAnsiTheme="minorHAnsi" w:cstheme="minorHAnsi"/>
        </w:rPr>
        <w:t>II</w:t>
      </w:r>
      <w:r w:rsidR="006E277B" w:rsidRPr="00684190">
        <w:rPr>
          <w:rFonts w:asciiTheme="minorHAnsi" w:hAnsiTheme="minorHAnsi" w:cstheme="minorHAnsi"/>
        </w:rPr>
        <w:t xml:space="preserve"> pkt 4 (nie dotyczy </w:t>
      </w:r>
      <w:r w:rsidR="00F337F4" w:rsidRPr="00684190">
        <w:rPr>
          <w:rFonts w:asciiTheme="minorHAnsi" w:hAnsiTheme="minorHAnsi" w:cstheme="minorHAnsi"/>
        </w:rPr>
        <w:t>wydatków wskazanych w Części I</w:t>
      </w:r>
      <w:r w:rsidR="00695240" w:rsidRPr="00684190">
        <w:rPr>
          <w:rFonts w:asciiTheme="minorHAnsi" w:hAnsiTheme="minorHAnsi" w:cstheme="minorHAnsi"/>
        </w:rPr>
        <w:t>II</w:t>
      </w:r>
      <w:r w:rsidR="00F337F4" w:rsidRPr="00684190">
        <w:rPr>
          <w:rFonts w:asciiTheme="minorHAnsi" w:hAnsiTheme="minorHAnsi" w:cstheme="minorHAnsi"/>
        </w:rPr>
        <w:t xml:space="preserve"> pkt 2 </w:t>
      </w:r>
      <w:proofErr w:type="spellStart"/>
      <w:r w:rsidR="007C31B8" w:rsidRPr="00684190">
        <w:rPr>
          <w:rFonts w:asciiTheme="minorHAnsi" w:hAnsiTheme="minorHAnsi" w:cstheme="minorHAnsi"/>
        </w:rPr>
        <w:t>ppkt</w:t>
      </w:r>
      <w:proofErr w:type="spellEnd"/>
      <w:r w:rsidR="007C31B8" w:rsidRPr="00684190">
        <w:rPr>
          <w:rFonts w:asciiTheme="minorHAnsi" w:hAnsiTheme="minorHAnsi" w:cstheme="minorHAnsi"/>
        </w:rPr>
        <w:t xml:space="preserve"> 1</w:t>
      </w:r>
      <w:r w:rsidR="006E277B" w:rsidRPr="00684190">
        <w:rPr>
          <w:rFonts w:asciiTheme="minorHAnsi" w:hAnsiTheme="minorHAnsi" w:cstheme="minorHAnsi"/>
        </w:rPr>
        <w:t>). Partner Finansujący, jeżeli uzna to za zasadne, ma prawo żądać od Ostatecznego Odbiorcy dodatkowych dokumentów potwierdzających realizację Inwestycji Końcowej lub wydatkowanie Jednostkowej Pożyczki zgodnie z celem na jaki została przyznana.</w:t>
      </w:r>
    </w:p>
    <w:p w14:paraId="795442E9" w14:textId="36CB2356" w:rsidR="0025568F" w:rsidRPr="00684190" w:rsidRDefault="0025568F" w:rsidP="005B64DD">
      <w:pPr>
        <w:pStyle w:val="Akapitzlist"/>
        <w:numPr>
          <w:ilvl w:val="0"/>
          <w:numId w:val="4"/>
        </w:numPr>
        <w:tabs>
          <w:tab w:val="clear" w:pos="785"/>
          <w:tab w:val="num" w:pos="567"/>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Wraz z dokumentami, o których mowa w </w:t>
      </w:r>
      <w:r w:rsidR="009D3B6D" w:rsidRPr="00684190">
        <w:rPr>
          <w:rFonts w:asciiTheme="minorHAnsi" w:hAnsiTheme="minorHAnsi" w:cstheme="minorHAnsi"/>
        </w:rPr>
        <w:t>pkt</w:t>
      </w:r>
      <w:r w:rsidRPr="00684190">
        <w:rPr>
          <w:rFonts w:asciiTheme="minorHAnsi" w:hAnsiTheme="minorHAnsi" w:cstheme="minorHAnsi"/>
        </w:rPr>
        <w:t xml:space="preserve"> </w:t>
      </w:r>
      <w:r w:rsidR="001518F7" w:rsidRPr="00684190">
        <w:rPr>
          <w:rFonts w:asciiTheme="minorHAnsi" w:hAnsiTheme="minorHAnsi" w:cstheme="minorHAnsi"/>
        </w:rPr>
        <w:t>7</w:t>
      </w:r>
      <w:r w:rsidRPr="00684190">
        <w:rPr>
          <w:rFonts w:asciiTheme="minorHAnsi" w:hAnsiTheme="minorHAnsi" w:cstheme="minorHAnsi"/>
        </w:rPr>
        <w:t xml:space="preserve">, Partner Finansujący pozyskuje od Ostatecznego Odbiorcy informacje na temat wysokości wniesionego przez niego wkładu własnego do Inwestycji Końcowej (jeśli został wniesiony). Informacja ta może zostać pozyskana przez Partnera Finansującego w formie </w:t>
      </w:r>
      <w:r w:rsidR="000039CC" w:rsidRPr="00684190">
        <w:rPr>
          <w:rFonts w:asciiTheme="minorHAnsi" w:hAnsiTheme="minorHAnsi" w:cstheme="minorHAnsi"/>
        </w:rPr>
        <w:t xml:space="preserve">dokumentów, o których mowa w pkt </w:t>
      </w:r>
      <w:r w:rsidR="001518F7" w:rsidRPr="00684190">
        <w:rPr>
          <w:rFonts w:asciiTheme="minorHAnsi" w:hAnsiTheme="minorHAnsi" w:cstheme="minorHAnsi"/>
        </w:rPr>
        <w:t>7</w:t>
      </w:r>
      <w:r w:rsidRPr="00684190">
        <w:rPr>
          <w:rFonts w:asciiTheme="minorHAnsi" w:hAnsiTheme="minorHAnsi" w:cstheme="minorHAnsi"/>
        </w:rPr>
        <w:t>.</w:t>
      </w:r>
    </w:p>
    <w:p w14:paraId="3097D543" w14:textId="77777777" w:rsidR="0025568F" w:rsidRPr="00684190" w:rsidRDefault="0025568F" w:rsidP="005B64DD">
      <w:pPr>
        <w:pStyle w:val="Akapitzlist"/>
        <w:numPr>
          <w:ilvl w:val="0"/>
          <w:numId w:val="4"/>
        </w:numPr>
        <w:tabs>
          <w:tab w:val="clear" w:pos="785"/>
          <w:tab w:val="num" w:pos="567"/>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W przypadku dokonywania w ramach Inwestycji Końcowej płatności w formie gotówkowej, płatności takie muszą być dokonywane z poszanowaniem art. 19 Ustawy z dnia 6 marca 2018 r. Prawo przedsiębiorców lub aktu zastępującego, pod rygorem uznania tego rodzaju płatności jako wydatki niekwalifikowalne.</w:t>
      </w:r>
    </w:p>
    <w:p w14:paraId="1AF02748" w14:textId="77777777" w:rsidR="004217A7" w:rsidRPr="00684190" w:rsidRDefault="0025568F" w:rsidP="005B64DD">
      <w:pPr>
        <w:pStyle w:val="Akapitzlist"/>
        <w:numPr>
          <w:ilvl w:val="0"/>
          <w:numId w:val="4"/>
        </w:numPr>
        <w:tabs>
          <w:tab w:val="clear" w:pos="785"/>
          <w:tab w:val="num" w:pos="567"/>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Wszelka dokumentacja potwierdzająca wydatkowanie środków przez Ostatecznego Odbiorcę powinna być, co do zasady, sporządzona w języku polskim, a w przypadku dokumentów wystawianych w języku innym niż język polski, w razie istnienia wątpliwości co do treści tych dokumentów, powinna zostać przetłumaczona na język polski.</w:t>
      </w:r>
    </w:p>
    <w:p w14:paraId="6180430D" w14:textId="409CDB2F" w:rsidR="00F6268D" w:rsidRPr="00684190" w:rsidRDefault="001F2A26" w:rsidP="005B64DD">
      <w:pPr>
        <w:pStyle w:val="Akapitzlist"/>
        <w:numPr>
          <w:ilvl w:val="0"/>
          <w:numId w:val="4"/>
        </w:numPr>
        <w:tabs>
          <w:tab w:val="clear" w:pos="785"/>
          <w:tab w:val="num" w:pos="567"/>
          <w:tab w:val="left" w:pos="3969"/>
        </w:tabs>
        <w:spacing w:before="120" w:after="0"/>
        <w:ind w:left="284" w:hanging="284"/>
        <w:contextualSpacing w:val="0"/>
        <w:jc w:val="both"/>
        <w:rPr>
          <w:rFonts w:asciiTheme="minorHAnsi" w:eastAsia="SimSun" w:hAnsiTheme="minorHAnsi" w:cstheme="minorHAnsi"/>
        </w:rPr>
      </w:pPr>
      <w:bookmarkStart w:id="7" w:name="_Hlk136520468"/>
      <w:r w:rsidRPr="00684190">
        <w:rPr>
          <w:rFonts w:asciiTheme="minorHAnsi" w:eastAsia="SimSun" w:hAnsiTheme="minorHAnsi" w:cstheme="minorHAnsi"/>
        </w:rPr>
        <w:t xml:space="preserve">Partner Finansujący potwierdza </w:t>
      </w:r>
      <w:r w:rsidRPr="00684190">
        <w:rPr>
          <w:rFonts w:asciiTheme="minorHAnsi" w:hAnsiTheme="minorHAnsi" w:cstheme="minorHAnsi"/>
        </w:rPr>
        <w:t>realizację Inwestycji Końcowej zgodnie z tym Audytem na podstawie przedstawionej przez Ostatecznego Odbiorcę dokumentacji. Dokumentacja przedstawiona do rozliczenia zawiera w szczególności</w:t>
      </w:r>
      <w:r w:rsidR="00F6268D" w:rsidRPr="00684190">
        <w:rPr>
          <w:rFonts w:asciiTheme="minorHAnsi" w:hAnsiTheme="minorHAnsi" w:cstheme="minorHAnsi"/>
        </w:rPr>
        <w:t>:</w:t>
      </w:r>
    </w:p>
    <w:p w14:paraId="72CC3C15" w14:textId="3853171C" w:rsidR="00F6268D" w:rsidRPr="00684190" w:rsidRDefault="001F2A26" w:rsidP="005B64DD">
      <w:pPr>
        <w:pStyle w:val="Akapitzlist"/>
        <w:numPr>
          <w:ilvl w:val="1"/>
          <w:numId w:val="25"/>
        </w:numPr>
        <w:tabs>
          <w:tab w:val="left" w:pos="3969"/>
        </w:tabs>
        <w:spacing w:before="120" w:after="0"/>
        <w:ind w:left="851" w:hanging="284"/>
        <w:contextualSpacing w:val="0"/>
        <w:jc w:val="both"/>
        <w:rPr>
          <w:rFonts w:asciiTheme="minorHAnsi" w:eastAsia="SimSun" w:hAnsiTheme="minorHAnsi" w:cstheme="minorHAnsi"/>
        </w:rPr>
      </w:pPr>
      <w:r w:rsidRPr="00684190">
        <w:rPr>
          <w:rFonts w:asciiTheme="minorHAnsi" w:hAnsiTheme="minorHAnsi" w:cstheme="minorHAnsi"/>
        </w:rPr>
        <w:lastRenderedPageBreak/>
        <w:t xml:space="preserve">w przypadkach gdy przeprowadzenie Inwestycji Końcowej wymagało opracowania projektu budowlanego </w:t>
      </w:r>
      <w:r w:rsidR="00EC0540" w:rsidRPr="00684190">
        <w:rPr>
          <w:rFonts w:asciiTheme="minorHAnsi" w:hAnsiTheme="minorHAnsi" w:cstheme="minorHAnsi"/>
        </w:rPr>
        <w:t>–</w:t>
      </w:r>
      <w:r w:rsidRPr="00684190">
        <w:rPr>
          <w:rFonts w:asciiTheme="minorHAnsi" w:hAnsiTheme="minorHAnsi" w:cstheme="minorHAnsi"/>
        </w:rPr>
        <w:t xml:space="preserve"> potwierdzenie projektanta o zgodności projektu budowlanego z pozytywnie zweryfikowanym </w:t>
      </w:r>
      <w:r w:rsidR="00670117" w:rsidRPr="00684190">
        <w:rPr>
          <w:rFonts w:asciiTheme="minorHAnsi" w:hAnsiTheme="minorHAnsi" w:cstheme="minorHAnsi"/>
        </w:rPr>
        <w:t xml:space="preserve">Audytem </w:t>
      </w:r>
      <w:r w:rsidRPr="00684190">
        <w:rPr>
          <w:rFonts w:asciiTheme="minorHAnsi" w:hAnsiTheme="minorHAnsi" w:cstheme="minorHAnsi"/>
        </w:rPr>
        <w:t>ex-</w:t>
      </w:r>
      <w:proofErr w:type="spellStart"/>
      <w:r w:rsidRPr="00684190">
        <w:rPr>
          <w:rFonts w:asciiTheme="minorHAnsi" w:hAnsiTheme="minorHAnsi" w:cstheme="minorHAnsi"/>
        </w:rPr>
        <w:t>ante</w:t>
      </w:r>
      <w:proofErr w:type="spellEnd"/>
      <w:r w:rsidRPr="00684190">
        <w:rPr>
          <w:rFonts w:asciiTheme="minorHAnsi" w:hAnsiTheme="minorHAnsi" w:cstheme="minorHAnsi"/>
        </w:rPr>
        <w:t xml:space="preserve"> wraz z potwierdzeniem inspektora nadzoru budowlanego/kierownika budowy o realizacji przedsięwzięcia zgodnie z projektem budowlanym</w:t>
      </w:r>
      <w:r w:rsidR="00F6268D" w:rsidRPr="00684190">
        <w:rPr>
          <w:rFonts w:asciiTheme="minorHAnsi" w:hAnsiTheme="minorHAnsi" w:cstheme="minorHAnsi"/>
        </w:rPr>
        <w:t>,</w:t>
      </w:r>
    </w:p>
    <w:p w14:paraId="55D56402" w14:textId="4FF9067B" w:rsidR="00F6268D" w:rsidRPr="00684190" w:rsidRDefault="00204E40" w:rsidP="005B64DD">
      <w:pPr>
        <w:pStyle w:val="Akapitzlist"/>
        <w:numPr>
          <w:ilvl w:val="1"/>
          <w:numId w:val="25"/>
        </w:numPr>
        <w:tabs>
          <w:tab w:val="left" w:pos="3969"/>
        </w:tabs>
        <w:spacing w:before="120" w:after="0"/>
        <w:ind w:left="851" w:hanging="284"/>
        <w:contextualSpacing w:val="0"/>
        <w:jc w:val="both"/>
        <w:rPr>
          <w:rFonts w:asciiTheme="minorHAnsi" w:eastAsia="SimSun" w:hAnsiTheme="minorHAnsi" w:cstheme="minorHAnsi"/>
        </w:rPr>
      </w:pPr>
      <w:r w:rsidRPr="00684190">
        <w:rPr>
          <w:rStyle w:val="ui-provider"/>
          <w:rFonts w:asciiTheme="minorHAnsi" w:hAnsiTheme="minorHAnsi" w:cstheme="minorHAnsi"/>
        </w:rPr>
        <w:t>w przypadku, gdy przeprowadzenie Inwestycji Końcowej nie wymagało opra</w:t>
      </w:r>
      <w:r w:rsidR="006C1839" w:rsidRPr="00684190">
        <w:rPr>
          <w:rStyle w:val="ui-provider"/>
          <w:rFonts w:asciiTheme="minorHAnsi" w:hAnsiTheme="minorHAnsi" w:cstheme="minorHAnsi"/>
        </w:rPr>
        <w:t xml:space="preserve">cowania projektu budowlanego – </w:t>
      </w:r>
      <w:r w:rsidRPr="00684190">
        <w:rPr>
          <w:rStyle w:val="ui-provider"/>
          <w:rFonts w:asciiTheme="minorHAnsi" w:hAnsiTheme="minorHAnsi" w:cstheme="minorHAnsi"/>
        </w:rPr>
        <w:t xml:space="preserve">w miejsce potwierdzeń, o których mowa w </w:t>
      </w:r>
      <w:proofErr w:type="spellStart"/>
      <w:r w:rsidRPr="00684190">
        <w:rPr>
          <w:rStyle w:val="ui-provider"/>
          <w:rFonts w:asciiTheme="minorHAnsi" w:hAnsiTheme="minorHAnsi" w:cstheme="minorHAnsi"/>
        </w:rPr>
        <w:t>ppkt</w:t>
      </w:r>
      <w:proofErr w:type="spellEnd"/>
      <w:r w:rsidRPr="00684190">
        <w:rPr>
          <w:rStyle w:val="ui-provider"/>
          <w:rFonts w:asciiTheme="minorHAnsi" w:hAnsiTheme="minorHAnsi" w:cstheme="minorHAnsi"/>
        </w:rPr>
        <w:t xml:space="preserve"> 1, Ostateczny Odbiorca przedstawia odpowiednio potwierdzenie kierownika budowy/własne oświadczenie o realizacji Inwestycji Końcowej zgodnie z założeniami pozytywnie zweryfikowanego Audytu</w:t>
      </w:r>
      <w:r w:rsidR="00F94F99" w:rsidRPr="00684190">
        <w:rPr>
          <w:rStyle w:val="ui-provider"/>
          <w:rFonts w:asciiTheme="minorHAnsi" w:hAnsiTheme="minorHAnsi" w:cstheme="minorHAnsi"/>
        </w:rPr>
        <w:t xml:space="preserve"> </w:t>
      </w:r>
      <w:r w:rsidR="007A0014" w:rsidRPr="00684190">
        <w:rPr>
          <w:rStyle w:val="ui-provider"/>
          <w:rFonts w:asciiTheme="minorHAnsi" w:hAnsiTheme="minorHAnsi" w:cstheme="minorHAnsi"/>
        </w:rPr>
        <w:t xml:space="preserve">ex </w:t>
      </w:r>
      <w:proofErr w:type="spellStart"/>
      <w:r w:rsidR="00670117" w:rsidRPr="00684190">
        <w:rPr>
          <w:rStyle w:val="ui-provider"/>
          <w:rFonts w:asciiTheme="minorHAnsi" w:hAnsiTheme="minorHAnsi" w:cstheme="minorHAnsi"/>
        </w:rPr>
        <w:t>ante</w:t>
      </w:r>
      <w:proofErr w:type="spellEnd"/>
      <w:r w:rsidRPr="00684190">
        <w:rPr>
          <w:rStyle w:val="ui-provider"/>
          <w:rFonts w:asciiTheme="minorHAnsi" w:hAnsiTheme="minorHAnsi" w:cstheme="minorHAnsi"/>
        </w:rPr>
        <w:t>, które weryfikuje Partner Finansujący na podstawie wyników analizy wydatków przedstawionych do rozliczenia Jednostkowej Pożyczki.</w:t>
      </w:r>
      <w:r w:rsidR="00D36DCE" w:rsidRPr="00684190">
        <w:rPr>
          <w:rStyle w:val="ui-provider"/>
          <w:rFonts w:asciiTheme="minorHAnsi" w:hAnsiTheme="minorHAnsi" w:cstheme="minorHAnsi"/>
        </w:rPr>
        <w:t xml:space="preserve"> </w:t>
      </w:r>
    </w:p>
    <w:p w14:paraId="28DAE8BE" w14:textId="532480AA" w:rsidR="004217A7" w:rsidRPr="00684190" w:rsidRDefault="001F2A26" w:rsidP="005B64DD">
      <w:pPr>
        <w:tabs>
          <w:tab w:val="left" w:pos="3969"/>
        </w:tabs>
        <w:spacing w:before="120" w:after="0"/>
        <w:ind w:left="785"/>
        <w:jc w:val="both"/>
        <w:rPr>
          <w:rFonts w:asciiTheme="minorHAnsi" w:eastAsia="SimSun" w:hAnsiTheme="minorHAnsi" w:cstheme="minorHAnsi"/>
        </w:rPr>
      </w:pPr>
      <w:r w:rsidRPr="00684190">
        <w:rPr>
          <w:rFonts w:asciiTheme="minorHAnsi" w:hAnsiTheme="minorHAnsi" w:cstheme="minorHAnsi"/>
        </w:rPr>
        <w:t>W przypadku gdy zakres inwestycji uległ zmianie w stosunku do zakresu wynikającego z Audytu</w:t>
      </w:r>
      <w:r w:rsidR="00B343DF" w:rsidRPr="00684190">
        <w:rPr>
          <w:rFonts w:asciiTheme="minorHAnsi" w:hAnsiTheme="minorHAnsi" w:cstheme="minorHAnsi"/>
        </w:rPr>
        <w:t xml:space="preserve"> </w:t>
      </w:r>
      <w:r w:rsidR="007A0014" w:rsidRPr="00684190">
        <w:rPr>
          <w:rFonts w:asciiTheme="minorHAnsi" w:hAnsiTheme="minorHAnsi" w:cstheme="minorHAnsi"/>
        </w:rPr>
        <w:t xml:space="preserve">ex </w:t>
      </w:r>
      <w:proofErr w:type="spellStart"/>
      <w:r w:rsidR="007A0014" w:rsidRPr="00684190">
        <w:rPr>
          <w:rFonts w:asciiTheme="minorHAnsi" w:hAnsiTheme="minorHAnsi" w:cstheme="minorHAnsi"/>
        </w:rPr>
        <w:t>ante</w:t>
      </w:r>
      <w:proofErr w:type="spellEnd"/>
      <w:r w:rsidRPr="00684190">
        <w:rPr>
          <w:rFonts w:asciiTheme="minorHAnsi" w:hAnsiTheme="minorHAnsi" w:cstheme="minorHAnsi"/>
        </w:rPr>
        <w:t>, dokumentacja zawiera przedłożony przez Ostatecznego Odbiorcę Audyt ex-post</w:t>
      </w:r>
      <w:r w:rsidR="0093615A" w:rsidRPr="00684190">
        <w:rPr>
          <w:rStyle w:val="Odwoanieprzypisudolnego"/>
          <w:rFonts w:asciiTheme="minorHAnsi" w:hAnsiTheme="minorHAnsi" w:cstheme="minorHAnsi"/>
        </w:rPr>
        <w:footnoteReference w:id="8"/>
      </w:r>
      <w:r w:rsidRPr="00684190">
        <w:rPr>
          <w:rFonts w:asciiTheme="minorHAnsi" w:hAnsiTheme="minorHAnsi" w:cstheme="minorHAnsi"/>
        </w:rPr>
        <w:t>.</w:t>
      </w:r>
    </w:p>
    <w:p w14:paraId="328D89D5" w14:textId="523B3633" w:rsidR="00A834B3" w:rsidRPr="00684190" w:rsidRDefault="0090005F" w:rsidP="005B64DD">
      <w:pPr>
        <w:pStyle w:val="Akapitzlist"/>
        <w:numPr>
          <w:ilvl w:val="0"/>
          <w:numId w:val="4"/>
        </w:numPr>
        <w:tabs>
          <w:tab w:val="clear" w:pos="785"/>
          <w:tab w:val="num" w:pos="567"/>
          <w:tab w:val="left" w:pos="3969"/>
        </w:tabs>
        <w:spacing w:before="120" w:after="0"/>
        <w:ind w:left="284" w:hanging="284"/>
        <w:contextualSpacing w:val="0"/>
        <w:jc w:val="both"/>
        <w:rPr>
          <w:rFonts w:asciiTheme="minorHAnsi" w:eastAsia="SimSun" w:hAnsiTheme="minorHAnsi" w:cstheme="minorHAnsi"/>
        </w:rPr>
      </w:pPr>
      <w:r w:rsidRPr="00684190">
        <w:rPr>
          <w:rFonts w:asciiTheme="minorHAnsi" w:eastAsia="SimSun" w:hAnsiTheme="minorHAnsi" w:cstheme="minorHAnsi"/>
        </w:rPr>
        <w:t>W przypadku wątpliwości np. odnośnie postępu w realizacji</w:t>
      </w:r>
      <w:r w:rsidR="002E0B4C" w:rsidRPr="00684190">
        <w:rPr>
          <w:rFonts w:asciiTheme="minorHAnsi" w:eastAsia="SimSun" w:hAnsiTheme="minorHAnsi" w:cstheme="minorHAnsi"/>
        </w:rPr>
        <w:t xml:space="preserve"> </w:t>
      </w:r>
      <w:r w:rsidR="0093615A" w:rsidRPr="00684190">
        <w:rPr>
          <w:rFonts w:asciiTheme="minorHAnsi" w:eastAsia="SimSun" w:hAnsiTheme="minorHAnsi" w:cstheme="minorHAnsi"/>
        </w:rPr>
        <w:t>Inwestycji Końcowej lub nie</w:t>
      </w:r>
      <w:r w:rsidRPr="00684190">
        <w:rPr>
          <w:rFonts w:asciiTheme="minorHAnsi" w:eastAsia="SimSun" w:hAnsiTheme="minorHAnsi" w:cstheme="minorHAnsi"/>
        </w:rPr>
        <w:t>wywiązywania się przez Ostatecznego Odbiorcę z terminów rozliczeń, Partner Finansujący ma obowiązek przeprowadzenia wizyty monitoringowej w miejscu realizacji Inwestycji Końcowej.</w:t>
      </w:r>
    </w:p>
    <w:bookmarkEnd w:id="7"/>
    <w:p w14:paraId="4A4FF92F" w14:textId="1A3FB700" w:rsidR="001327AA" w:rsidRPr="00684190" w:rsidRDefault="00106A33" w:rsidP="005B64DD">
      <w:pPr>
        <w:pStyle w:val="Nagwek1"/>
        <w:spacing w:before="120"/>
        <w:rPr>
          <w:rFonts w:asciiTheme="minorHAnsi" w:hAnsiTheme="minorHAnsi" w:cstheme="minorHAnsi"/>
          <w:color w:val="auto"/>
        </w:rPr>
      </w:pPr>
      <w:r w:rsidRPr="00684190">
        <w:rPr>
          <w:rFonts w:asciiTheme="minorHAnsi" w:hAnsiTheme="minorHAnsi" w:cstheme="minorHAnsi"/>
          <w:color w:val="auto"/>
        </w:rPr>
        <w:t xml:space="preserve">Część </w:t>
      </w:r>
      <w:r w:rsidR="001518F7" w:rsidRPr="00684190">
        <w:rPr>
          <w:rFonts w:asciiTheme="minorHAnsi" w:hAnsiTheme="minorHAnsi" w:cstheme="minorHAnsi"/>
          <w:color w:val="auto"/>
        </w:rPr>
        <w:t>VIII</w:t>
      </w:r>
      <w:r w:rsidR="001327AA" w:rsidRPr="00684190">
        <w:rPr>
          <w:rFonts w:asciiTheme="minorHAnsi" w:hAnsiTheme="minorHAnsi" w:cstheme="minorHAnsi"/>
          <w:color w:val="auto"/>
        </w:rPr>
        <w:t xml:space="preserve"> Zasady odpłatności za udzielenie Jednostkowych Pożyczek</w:t>
      </w:r>
    </w:p>
    <w:p w14:paraId="79175BB5" w14:textId="1EF94B86" w:rsidR="001327AA" w:rsidRPr="00684190" w:rsidRDefault="001327AA" w:rsidP="005B64DD">
      <w:pPr>
        <w:pStyle w:val="Akapitzlist"/>
        <w:numPr>
          <w:ilvl w:val="0"/>
          <w:numId w:val="13"/>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Jednostkowe Pożyczki udzielane Ostatecznym Odbiorcom mogą być udzielane na warunkach korzystniejszych niż rynkowe lub na warunkach rynkowych.</w:t>
      </w:r>
    </w:p>
    <w:p w14:paraId="4F416544" w14:textId="77777777" w:rsidR="000D33E1" w:rsidRPr="00684190" w:rsidRDefault="000D33E1" w:rsidP="005B64DD">
      <w:pPr>
        <w:pStyle w:val="Akapitzlist"/>
        <w:numPr>
          <w:ilvl w:val="0"/>
          <w:numId w:val="13"/>
        </w:numPr>
        <w:spacing w:before="120" w:after="0"/>
        <w:ind w:left="284" w:hanging="284"/>
        <w:contextualSpacing w:val="0"/>
        <w:rPr>
          <w:rFonts w:asciiTheme="minorHAnsi" w:hAnsiTheme="minorHAnsi" w:cstheme="minorHAnsi"/>
        </w:rPr>
      </w:pPr>
      <w:r w:rsidRPr="00684190">
        <w:rPr>
          <w:rFonts w:asciiTheme="minorHAnsi" w:hAnsiTheme="minorHAnsi" w:cstheme="minorHAnsi"/>
        </w:rPr>
        <w:t>Oprocentowanie Jednostkowej Pożyczki na warunkach korzystniejszych niż rynkowe jest stałe w całym okresie jej obowiązywania i wynosi 0% w skali roku.</w:t>
      </w:r>
    </w:p>
    <w:p w14:paraId="20D3ABEB" w14:textId="751DDC6D" w:rsidR="001327AA" w:rsidRPr="00684190" w:rsidRDefault="001327AA" w:rsidP="005B64DD">
      <w:pPr>
        <w:pStyle w:val="Akapitzlist"/>
        <w:numPr>
          <w:ilvl w:val="0"/>
          <w:numId w:val="13"/>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Oprocentowanie na zasadach rynkowych ustalane jest w wysokości stopy referencyjnej obliczanej przy zastosowaniu obowiązującej stopy bazowej oraz marży ustalonej w oparciu o Komunikat Komisji Europejskiej z dnia 19 stycznia 2008 r. w sprawie zmiany metody ustalania stóp referencyjnych i dyskontowych lub komunikatu zastępującego.</w:t>
      </w:r>
    </w:p>
    <w:p w14:paraId="3B56BDC2" w14:textId="77777777" w:rsidR="001327AA" w:rsidRPr="00684190" w:rsidRDefault="001327AA" w:rsidP="005B64DD">
      <w:pPr>
        <w:pStyle w:val="Akapitzlist"/>
        <w:numPr>
          <w:ilvl w:val="0"/>
          <w:numId w:val="13"/>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W ramach udzielanych Jednostkowych Pożyczek nie występują opłaty związane z udzieleniem pożyczki i jej standardową obsługą. Czynności wykraczające poza ten zakres, przede wszystkim w przypadku niewywiązywania się przez Ostatecznego Odbiorcę z warunków Umowy Inwestycyjnej, występowania nierozliczonych wydatków, zaległości w spłacie, konieczności podejmowania działań windykacyjnych (zgodnie z postanowieniami Umowy), mogą przyczynić się do wystąpienia dodatkowych opłat i kosztów po stronie Ostatecznego Odbiorcy, co Partner Finansujący powinien określić w postanowieniach Umów Inwestycyjnych oraz Taryfie opłat i prowizji.</w:t>
      </w:r>
    </w:p>
    <w:p w14:paraId="18CB7954" w14:textId="4B9C1DE3" w:rsidR="007F3BB3" w:rsidRPr="00684190" w:rsidRDefault="007F3BB3" w:rsidP="005B64DD">
      <w:pPr>
        <w:pStyle w:val="Nagwek1"/>
        <w:spacing w:before="120"/>
        <w:rPr>
          <w:rFonts w:asciiTheme="minorHAnsi" w:hAnsiTheme="minorHAnsi" w:cstheme="minorHAnsi"/>
          <w:color w:val="auto"/>
        </w:rPr>
      </w:pPr>
      <w:bookmarkStart w:id="8" w:name="_Hlk138867173"/>
      <w:r w:rsidRPr="00684190">
        <w:rPr>
          <w:rFonts w:asciiTheme="minorHAnsi" w:hAnsiTheme="minorHAnsi" w:cstheme="minorHAnsi"/>
          <w:color w:val="auto"/>
        </w:rPr>
        <w:t xml:space="preserve">Część </w:t>
      </w:r>
      <w:r w:rsidR="001518F7" w:rsidRPr="00684190">
        <w:rPr>
          <w:rFonts w:asciiTheme="minorHAnsi" w:hAnsiTheme="minorHAnsi" w:cstheme="minorHAnsi"/>
          <w:color w:val="auto"/>
        </w:rPr>
        <w:t>I</w:t>
      </w:r>
      <w:r w:rsidRPr="00684190">
        <w:rPr>
          <w:rFonts w:asciiTheme="minorHAnsi" w:hAnsiTheme="minorHAnsi" w:cstheme="minorHAnsi"/>
          <w:color w:val="auto"/>
        </w:rPr>
        <w:t xml:space="preserve">X Szczegółowe zasady dotyczące </w:t>
      </w:r>
      <w:r w:rsidR="00521148" w:rsidRPr="00684190">
        <w:rPr>
          <w:rFonts w:asciiTheme="minorHAnsi" w:hAnsiTheme="minorHAnsi" w:cstheme="minorHAnsi"/>
          <w:color w:val="auto"/>
        </w:rPr>
        <w:t>udziel</w:t>
      </w:r>
      <w:r w:rsidR="00212D33" w:rsidRPr="00684190">
        <w:rPr>
          <w:rFonts w:asciiTheme="minorHAnsi" w:hAnsiTheme="minorHAnsi" w:cstheme="minorHAnsi"/>
          <w:color w:val="auto"/>
        </w:rPr>
        <w:t>a</w:t>
      </w:r>
      <w:r w:rsidR="00521148" w:rsidRPr="00684190">
        <w:rPr>
          <w:rFonts w:asciiTheme="minorHAnsi" w:hAnsiTheme="minorHAnsi" w:cstheme="minorHAnsi"/>
          <w:color w:val="auto"/>
        </w:rPr>
        <w:t xml:space="preserve">nia </w:t>
      </w:r>
      <w:r w:rsidR="00B92C82" w:rsidRPr="00684190">
        <w:rPr>
          <w:rFonts w:asciiTheme="minorHAnsi" w:hAnsiTheme="minorHAnsi" w:cstheme="minorHAnsi"/>
          <w:color w:val="auto"/>
        </w:rPr>
        <w:t>Dotacji</w:t>
      </w:r>
    </w:p>
    <w:p w14:paraId="15E485B1" w14:textId="053358CF" w:rsidR="007F3BB3" w:rsidRPr="00684190" w:rsidRDefault="007F3BB3" w:rsidP="005B64DD">
      <w:pPr>
        <w:pStyle w:val="Akapitzlist"/>
        <w:numPr>
          <w:ilvl w:val="6"/>
          <w:numId w:val="20"/>
        </w:numPr>
        <w:tabs>
          <w:tab w:val="left" w:pos="709"/>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Podmiot ubiegający się o Jednostkową Pożyczkę określa we Wniosku kwotę </w:t>
      </w:r>
      <w:r w:rsidR="00B92C82" w:rsidRPr="00684190">
        <w:rPr>
          <w:rFonts w:asciiTheme="minorHAnsi" w:hAnsiTheme="minorHAnsi" w:cstheme="minorHAnsi"/>
        </w:rPr>
        <w:t>D</w:t>
      </w:r>
      <w:r w:rsidR="007A4357" w:rsidRPr="00684190">
        <w:rPr>
          <w:rFonts w:asciiTheme="minorHAnsi" w:hAnsiTheme="minorHAnsi" w:cstheme="minorHAnsi"/>
        </w:rPr>
        <w:t xml:space="preserve">otacji </w:t>
      </w:r>
      <w:r w:rsidRPr="00684190">
        <w:rPr>
          <w:rFonts w:asciiTheme="minorHAnsi" w:hAnsiTheme="minorHAnsi" w:cstheme="minorHAnsi"/>
        </w:rPr>
        <w:t>o jaką wnioskuje, biorąc pod uwagę warunki je</w:t>
      </w:r>
      <w:r w:rsidR="009A3D22" w:rsidRPr="00684190">
        <w:rPr>
          <w:rFonts w:asciiTheme="minorHAnsi" w:hAnsiTheme="minorHAnsi" w:cstheme="minorHAnsi"/>
        </w:rPr>
        <w:t>j</w:t>
      </w:r>
      <w:r w:rsidRPr="00684190">
        <w:rPr>
          <w:rFonts w:asciiTheme="minorHAnsi" w:hAnsiTheme="minorHAnsi" w:cstheme="minorHAnsi"/>
        </w:rPr>
        <w:t xml:space="preserve"> uzyskania określone w Części II.</w:t>
      </w:r>
    </w:p>
    <w:p w14:paraId="324DF204" w14:textId="1DE2BB9E" w:rsidR="007F3BB3" w:rsidRPr="00684190" w:rsidRDefault="007F3BB3" w:rsidP="005B64DD">
      <w:pPr>
        <w:pStyle w:val="Akapitzlist"/>
        <w:numPr>
          <w:ilvl w:val="6"/>
          <w:numId w:val="20"/>
        </w:numPr>
        <w:tabs>
          <w:tab w:val="left" w:pos="709"/>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Partner Finansujący w ramach oceny dokumentacji aplikacyjnej weryfikuje spełnienie przez Ostatecznego Odbiorcę warunków umożliwiających udzielenie </w:t>
      </w:r>
      <w:r w:rsidR="00B92C82" w:rsidRPr="00684190">
        <w:rPr>
          <w:rFonts w:asciiTheme="minorHAnsi" w:hAnsiTheme="minorHAnsi" w:cstheme="minorHAnsi"/>
        </w:rPr>
        <w:t>D</w:t>
      </w:r>
      <w:r w:rsidR="009A3D22" w:rsidRPr="00684190">
        <w:rPr>
          <w:rFonts w:asciiTheme="minorHAnsi" w:hAnsiTheme="minorHAnsi" w:cstheme="minorHAnsi"/>
        </w:rPr>
        <w:t>otacji</w:t>
      </w:r>
      <w:r w:rsidRPr="00684190">
        <w:rPr>
          <w:rFonts w:asciiTheme="minorHAnsi" w:hAnsiTheme="minorHAnsi" w:cstheme="minorHAnsi"/>
        </w:rPr>
        <w:t>.</w:t>
      </w:r>
    </w:p>
    <w:p w14:paraId="734A50ED" w14:textId="1C7051CA" w:rsidR="007F3BB3" w:rsidRPr="00684190" w:rsidRDefault="007F3BB3" w:rsidP="005B64DD">
      <w:pPr>
        <w:pStyle w:val="Akapitzlist"/>
        <w:numPr>
          <w:ilvl w:val="6"/>
          <w:numId w:val="20"/>
        </w:numPr>
        <w:tabs>
          <w:tab w:val="left" w:pos="709"/>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lastRenderedPageBreak/>
        <w:t xml:space="preserve">W przypadku spełniania warunków do </w:t>
      </w:r>
      <w:r w:rsidR="00212D33" w:rsidRPr="00684190">
        <w:rPr>
          <w:rFonts w:asciiTheme="minorHAnsi" w:hAnsiTheme="minorHAnsi" w:cstheme="minorHAnsi"/>
        </w:rPr>
        <w:t>udzielenia</w:t>
      </w:r>
      <w:r w:rsidRPr="00684190">
        <w:rPr>
          <w:rFonts w:asciiTheme="minorHAnsi" w:hAnsiTheme="minorHAnsi" w:cstheme="minorHAnsi"/>
        </w:rPr>
        <w:t xml:space="preserve"> </w:t>
      </w:r>
      <w:r w:rsidR="00B92C82" w:rsidRPr="00684190">
        <w:rPr>
          <w:rFonts w:asciiTheme="minorHAnsi" w:hAnsiTheme="minorHAnsi" w:cstheme="minorHAnsi"/>
        </w:rPr>
        <w:t>D</w:t>
      </w:r>
      <w:r w:rsidR="009A3D22" w:rsidRPr="00684190">
        <w:rPr>
          <w:rFonts w:asciiTheme="minorHAnsi" w:hAnsiTheme="minorHAnsi" w:cstheme="minorHAnsi"/>
        </w:rPr>
        <w:t>otacji</w:t>
      </w:r>
      <w:r w:rsidRPr="00684190">
        <w:rPr>
          <w:rFonts w:asciiTheme="minorHAnsi" w:hAnsiTheme="minorHAnsi" w:cstheme="minorHAnsi"/>
        </w:rPr>
        <w:t>, w Umowie Inwestycyjnej określana jest je</w:t>
      </w:r>
      <w:r w:rsidR="009A3D22" w:rsidRPr="00684190">
        <w:rPr>
          <w:rFonts w:asciiTheme="minorHAnsi" w:hAnsiTheme="minorHAnsi" w:cstheme="minorHAnsi"/>
        </w:rPr>
        <w:t>j</w:t>
      </w:r>
      <w:r w:rsidRPr="00684190">
        <w:rPr>
          <w:rFonts w:asciiTheme="minorHAnsi" w:hAnsiTheme="minorHAnsi" w:cstheme="minorHAnsi"/>
        </w:rPr>
        <w:t xml:space="preserve"> kwota jaka została przyznana w odniesieniu do danej Jednostkowej Pożyczki i warunki zastosowania określone poniżej.</w:t>
      </w:r>
    </w:p>
    <w:p w14:paraId="050F8D43" w14:textId="4EE0B981" w:rsidR="007F3BB3" w:rsidRPr="00684190" w:rsidRDefault="009A3D22" w:rsidP="005B64DD">
      <w:pPr>
        <w:pStyle w:val="Akapitzlist"/>
        <w:numPr>
          <w:ilvl w:val="6"/>
          <w:numId w:val="20"/>
        </w:numPr>
        <w:tabs>
          <w:tab w:val="left" w:pos="709"/>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Dotacja </w:t>
      </w:r>
      <w:r w:rsidR="007F3BB3" w:rsidRPr="00684190">
        <w:rPr>
          <w:rFonts w:asciiTheme="minorHAnsi" w:hAnsiTheme="minorHAnsi" w:cstheme="minorHAnsi"/>
        </w:rPr>
        <w:t xml:space="preserve">stanowi pomoc de </w:t>
      </w:r>
      <w:proofErr w:type="spellStart"/>
      <w:r w:rsidR="007F3BB3" w:rsidRPr="00684190">
        <w:rPr>
          <w:rFonts w:asciiTheme="minorHAnsi" w:hAnsiTheme="minorHAnsi" w:cstheme="minorHAnsi"/>
        </w:rPr>
        <w:t>minimis</w:t>
      </w:r>
      <w:proofErr w:type="spellEnd"/>
      <w:r w:rsidR="007F3BB3" w:rsidRPr="00684190">
        <w:rPr>
          <w:rFonts w:asciiTheme="minorHAnsi" w:hAnsiTheme="minorHAnsi" w:cstheme="minorHAnsi"/>
        </w:rPr>
        <w:t xml:space="preserve"> albo pomoc publiczną</w:t>
      </w:r>
      <w:r w:rsidR="00C571AD" w:rsidRPr="00684190">
        <w:rPr>
          <w:rFonts w:asciiTheme="minorHAnsi" w:hAnsiTheme="minorHAnsi" w:cstheme="minorHAnsi"/>
        </w:rPr>
        <w:t xml:space="preserve"> </w:t>
      </w:r>
      <w:r w:rsidR="00FF6B5F" w:rsidRPr="00684190">
        <w:rPr>
          <w:rFonts w:asciiTheme="minorHAnsi" w:hAnsiTheme="minorHAnsi" w:cstheme="minorHAnsi"/>
        </w:rPr>
        <w:t>(z wyłączeniem Ostatecznych Odbiorców/Inwestycji Końcowych nieobjętych regułami pomocy publicznej)</w:t>
      </w:r>
      <w:r w:rsidR="000D33E1" w:rsidRPr="00684190">
        <w:rPr>
          <w:rFonts w:asciiTheme="minorHAnsi" w:hAnsiTheme="minorHAnsi" w:cstheme="minorHAnsi"/>
        </w:rPr>
        <w:t>,</w:t>
      </w:r>
      <w:r w:rsidR="00652A07" w:rsidRPr="00684190">
        <w:rPr>
          <w:rFonts w:asciiTheme="minorHAnsi" w:hAnsiTheme="minorHAnsi" w:cstheme="minorHAnsi"/>
        </w:rPr>
        <w:t xml:space="preserve"> </w:t>
      </w:r>
      <w:r w:rsidR="007F3BB3" w:rsidRPr="00684190">
        <w:rPr>
          <w:rFonts w:asciiTheme="minorHAnsi" w:hAnsiTheme="minorHAnsi" w:cstheme="minorHAnsi"/>
        </w:rPr>
        <w:t>która może być udzielona, jeżeli spełnione są warunki przewidziane dla danej pomocy, zgodnie z zasadami i na podstawie przepisów o których mowa w Części X</w:t>
      </w:r>
      <w:r w:rsidR="00B41C0A" w:rsidRPr="00684190">
        <w:rPr>
          <w:rFonts w:asciiTheme="minorHAnsi" w:hAnsiTheme="minorHAnsi" w:cstheme="minorHAnsi"/>
        </w:rPr>
        <w:t xml:space="preserve"> Karty</w:t>
      </w:r>
      <w:r w:rsidR="007F3BB3" w:rsidRPr="00684190">
        <w:rPr>
          <w:rFonts w:asciiTheme="minorHAnsi" w:hAnsiTheme="minorHAnsi" w:cstheme="minorHAnsi"/>
        </w:rPr>
        <w:t xml:space="preserve">. Kwota </w:t>
      </w:r>
      <w:r w:rsidR="00B92C82" w:rsidRPr="00684190">
        <w:rPr>
          <w:rFonts w:asciiTheme="minorHAnsi" w:hAnsiTheme="minorHAnsi" w:cstheme="minorHAnsi"/>
        </w:rPr>
        <w:t>D</w:t>
      </w:r>
      <w:r w:rsidRPr="00684190">
        <w:rPr>
          <w:rFonts w:asciiTheme="minorHAnsi" w:hAnsiTheme="minorHAnsi" w:cstheme="minorHAnsi"/>
        </w:rPr>
        <w:t xml:space="preserve">otacji </w:t>
      </w:r>
      <w:r w:rsidR="007F3BB3" w:rsidRPr="00684190">
        <w:rPr>
          <w:rFonts w:asciiTheme="minorHAnsi" w:hAnsiTheme="minorHAnsi" w:cstheme="minorHAnsi"/>
        </w:rPr>
        <w:t xml:space="preserve">stanowi jednocześnie wartość udzielonej z tego tytułu pomocy. Ostateczny Odbiorca uzyskuje prawo do otrzymania pomocy w formie </w:t>
      </w:r>
      <w:r w:rsidR="00B92C82" w:rsidRPr="00684190">
        <w:rPr>
          <w:rFonts w:asciiTheme="minorHAnsi" w:hAnsiTheme="minorHAnsi" w:cstheme="minorHAnsi"/>
        </w:rPr>
        <w:t>D</w:t>
      </w:r>
      <w:r w:rsidRPr="00684190">
        <w:rPr>
          <w:rFonts w:asciiTheme="minorHAnsi" w:hAnsiTheme="minorHAnsi" w:cstheme="minorHAnsi"/>
        </w:rPr>
        <w:t xml:space="preserve">otacji </w:t>
      </w:r>
      <w:r w:rsidR="007F3BB3" w:rsidRPr="00684190">
        <w:rPr>
          <w:rFonts w:asciiTheme="minorHAnsi" w:hAnsiTheme="minorHAnsi" w:cstheme="minorHAnsi"/>
        </w:rPr>
        <w:t>na podstawie zawartej Umowy Inw</w:t>
      </w:r>
      <w:r w:rsidR="00DF68B1" w:rsidRPr="00684190">
        <w:rPr>
          <w:rFonts w:asciiTheme="minorHAnsi" w:hAnsiTheme="minorHAnsi" w:cstheme="minorHAnsi"/>
        </w:rPr>
        <w:t>estycyjnej, z zastrzeżeniem pkt</w:t>
      </w:r>
      <w:r w:rsidR="007F3BB3" w:rsidRPr="00684190">
        <w:rPr>
          <w:rFonts w:asciiTheme="minorHAnsi" w:hAnsiTheme="minorHAnsi" w:cstheme="minorHAnsi"/>
        </w:rPr>
        <w:t xml:space="preserve"> </w:t>
      </w:r>
      <w:r w:rsidR="008E4236" w:rsidRPr="00684190">
        <w:rPr>
          <w:rFonts w:asciiTheme="minorHAnsi" w:hAnsiTheme="minorHAnsi" w:cstheme="minorHAnsi"/>
        </w:rPr>
        <w:t>6</w:t>
      </w:r>
      <w:r w:rsidR="002F0F55" w:rsidRPr="00684190">
        <w:rPr>
          <w:rFonts w:asciiTheme="minorHAnsi" w:hAnsiTheme="minorHAnsi" w:cstheme="minorHAnsi"/>
        </w:rPr>
        <w:t xml:space="preserve"> </w:t>
      </w:r>
      <w:r w:rsidR="00D21E3D" w:rsidRPr="00684190">
        <w:rPr>
          <w:rFonts w:asciiTheme="minorHAnsi" w:hAnsiTheme="minorHAnsi" w:cstheme="minorHAnsi"/>
        </w:rPr>
        <w:t>-</w:t>
      </w:r>
      <w:r w:rsidR="007F3BB3" w:rsidRPr="00684190">
        <w:rPr>
          <w:rFonts w:asciiTheme="minorHAnsi" w:hAnsiTheme="minorHAnsi" w:cstheme="minorHAnsi"/>
        </w:rPr>
        <w:t xml:space="preserve"> </w:t>
      </w:r>
      <w:r w:rsidR="002F0F55" w:rsidRPr="00684190">
        <w:rPr>
          <w:rFonts w:asciiTheme="minorHAnsi" w:hAnsiTheme="minorHAnsi" w:cstheme="minorHAnsi"/>
        </w:rPr>
        <w:t>12</w:t>
      </w:r>
      <w:r w:rsidR="007F3BB3" w:rsidRPr="00684190">
        <w:rPr>
          <w:rFonts w:asciiTheme="minorHAnsi" w:hAnsiTheme="minorHAnsi" w:cstheme="minorHAnsi"/>
        </w:rPr>
        <w:t>.</w:t>
      </w:r>
    </w:p>
    <w:p w14:paraId="0B9508BB" w14:textId="3D5836BB" w:rsidR="00B31390" w:rsidRPr="00684190" w:rsidRDefault="00B31390" w:rsidP="00B31390">
      <w:pPr>
        <w:pStyle w:val="Akapitzlist"/>
        <w:numPr>
          <w:ilvl w:val="6"/>
          <w:numId w:val="20"/>
        </w:numPr>
        <w:ind w:left="284"/>
        <w:jc w:val="both"/>
        <w:rPr>
          <w:rFonts w:asciiTheme="minorHAnsi" w:hAnsiTheme="minorHAnsi" w:cstheme="minorHAnsi"/>
        </w:rPr>
      </w:pPr>
      <w:r w:rsidRPr="00684190">
        <w:rPr>
          <w:rFonts w:asciiTheme="minorHAnsi" w:hAnsiTheme="minorHAnsi" w:cstheme="minorHAnsi"/>
        </w:rPr>
        <w:t>Zastosowanie przyznanej Dotacji nastąpi poprzez zaliczenie jej na spłatę odpowiedniej części kapitału Jednostkowej Pożyczki, po zakończeniu realizacji Inwestycji Końcowej, przedstawieniu przez Ostatecznego Odbiorcę dokumentów potwierdzających wydatkowanie środków zgodnie z przeznaczeniem (oraz ewentualnych innych dokumentów – jeśli dotyczy) i zweryfikowaniu kwalifikowalności tych wydatków przez Partnera Finansującego.</w:t>
      </w:r>
    </w:p>
    <w:p w14:paraId="7827D47A" w14:textId="77777777" w:rsidR="007F3BB3" w:rsidRPr="00684190" w:rsidRDefault="007F3BB3" w:rsidP="00B75EF2">
      <w:pPr>
        <w:pStyle w:val="Akapitzlist"/>
        <w:numPr>
          <w:ilvl w:val="6"/>
          <w:numId w:val="20"/>
        </w:numPr>
        <w:tabs>
          <w:tab w:val="left" w:pos="709"/>
        </w:tabs>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W przypadku gdy:</w:t>
      </w:r>
    </w:p>
    <w:p w14:paraId="2B0F3FF0" w14:textId="77777777" w:rsidR="007F3BB3" w:rsidRPr="00684190" w:rsidRDefault="007F3BB3" w:rsidP="005B64DD">
      <w:pPr>
        <w:pStyle w:val="Akapitzlist"/>
        <w:numPr>
          <w:ilvl w:val="3"/>
          <w:numId w:val="44"/>
        </w:numPr>
        <w:tabs>
          <w:tab w:val="left" w:pos="567"/>
        </w:tabs>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nie dojdzie do wypłaty całej kwoty Jednostkowej Pożyczki,</w:t>
      </w:r>
    </w:p>
    <w:p w14:paraId="03149828" w14:textId="77777777" w:rsidR="007F3BB3" w:rsidRPr="00684190" w:rsidRDefault="007F3BB3" w:rsidP="005B64DD">
      <w:pPr>
        <w:pStyle w:val="Akapitzlist"/>
        <w:numPr>
          <w:ilvl w:val="3"/>
          <w:numId w:val="44"/>
        </w:numPr>
        <w:tabs>
          <w:tab w:val="left" w:pos="567"/>
        </w:tabs>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Ostateczny Odbiorca nie wykorzysta części wypłaconych na jego rzecz środków Jednostkowej Pożyczki,</w:t>
      </w:r>
    </w:p>
    <w:p w14:paraId="481DF253" w14:textId="77777777" w:rsidR="007F3BB3" w:rsidRPr="00684190" w:rsidRDefault="007F3BB3" w:rsidP="005B64DD">
      <w:pPr>
        <w:pStyle w:val="Akapitzlist"/>
        <w:numPr>
          <w:ilvl w:val="3"/>
          <w:numId w:val="44"/>
        </w:numPr>
        <w:tabs>
          <w:tab w:val="left" w:pos="567"/>
        </w:tabs>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część wydatków poniesionych w ramach Jednostkowej Pożyczki nie będzie spełniała Zasad Kwalifikowalności,</w:t>
      </w:r>
    </w:p>
    <w:p w14:paraId="3FE6320C" w14:textId="17138701" w:rsidR="007F3BB3" w:rsidRPr="00684190" w:rsidRDefault="007F3BB3" w:rsidP="00172B93">
      <w:pPr>
        <w:pStyle w:val="Akapitzlist"/>
        <w:tabs>
          <w:tab w:val="left" w:pos="567"/>
        </w:tabs>
        <w:spacing w:before="120" w:after="0"/>
        <w:ind w:left="426"/>
        <w:contextualSpacing w:val="0"/>
        <w:jc w:val="both"/>
        <w:rPr>
          <w:rFonts w:asciiTheme="minorHAnsi" w:hAnsiTheme="minorHAnsi" w:cstheme="minorHAnsi"/>
        </w:rPr>
      </w:pPr>
      <w:r w:rsidRPr="00684190">
        <w:rPr>
          <w:rFonts w:asciiTheme="minorHAnsi" w:hAnsiTheme="minorHAnsi" w:cstheme="minorHAnsi"/>
        </w:rPr>
        <w:t xml:space="preserve">kwota </w:t>
      </w:r>
      <w:r w:rsidR="00B31390" w:rsidRPr="00684190">
        <w:rPr>
          <w:rFonts w:asciiTheme="minorHAnsi" w:hAnsiTheme="minorHAnsi" w:cstheme="minorHAnsi"/>
        </w:rPr>
        <w:t>D</w:t>
      </w:r>
      <w:r w:rsidR="00172B93" w:rsidRPr="00684190">
        <w:rPr>
          <w:rFonts w:asciiTheme="minorHAnsi" w:hAnsiTheme="minorHAnsi" w:cstheme="minorHAnsi"/>
        </w:rPr>
        <w:t xml:space="preserve">otacji </w:t>
      </w:r>
      <w:r w:rsidRPr="00684190">
        <w:rPr>
          <w:rFonts w:asciiTheme="minorHAnsi" w:hAnsiTheme="minorHAnsi" w:cstheme="minorHAnsi"/>
        </w:rPr>
        <w:t xml:space="preserve">ulega odpowiedniemu obniżeniu i jest </w:t>
      </w:r>
      <w:r w:rsidR="00E27747" w:rsidRPr="00684190">
        <w:rPr>
          <w:rFonts w:asciiTheme="minorHAnsi" w:hAnsiTheme="minorHAnsi" w:cstheme="minorHAnsi"/>
        </w:rPr>
        <w:t xml:space="preserve">odpowiednio korygowana </w:t>
      </w:r>
      <w:r w:rsidRPr="00684190">
        <w:rPr>
          <w:rFonts w:asciiTheme="minorHAnsi" w:hAnsiTheme="minorHAnsi" w:cstheme="minorHAnsi"/>
        </w:rPr>
        <w:t xml:space="preserve">w oparciu o kwotę Jednostkowej Pożyczki wypłaconej i wykorzystanej na wydatki spełniające Zasady Kwalifikowalności, chyba że, ze względu na okoliczności wskazane w </w:t>
      </w:r>
      <w:proofErr w:type="spellStart"/>
      <w:r w:rsidR="007C31B8" w:rsidRPr="00684190">
        <w:rPr>
          <w:rFonts w:asciiTheme="minorHAnsi" w:hAnsiTheme="minorHAnsi" w:cstheme="minorHAnsi"/>
        </w:rPr>
        <w:t>ppkt</w:t>
      </w:r>
      <w:proofErr w:type="spellEnd"/>
      <w:r w:rsidR="007C31B8" w:rsidRPr="00684190">
        <w:rPr>
          <w:rFonts w:asciiTheme="minorHAnsi" w:hAnsiTheme="minorHAnsi" w:cstheme="minorHAnsi"/>
        </w:rPr>
        <w:t xml:space="preserve"> 1)-3)</w:t>
      </w:r>
      <w:r w:rsidRPr="00684190">
        <w:rPr>
          <w:rFonts w:asciiTheme="minorHAnsi" w:hAnsiTheme="minorHAnsi" w:cstheme="minorHAnsi"/>
        </w:rPr>
        <w:t xml:space="preserve">, cała Jednostkowa Pożyczka nie może być uznana za spełniającą Zasady Kwalifikowalności, co skutkuje brakiem możliwości </w:t>
      </w:r>
      <w:r w:rsidR="00B31390" w:rsidRPr="00684190">
        <w:rPr>
          <w:rFonts w:asciiTheme="minorHAnsi" w:hAnsiTheme="minorHAnsi" w:cstheme="minorHAnsi"/>
        </w:rPr>
        <w:t>zastosowania D</w:t>
      </w:r>
      <w:r w:rsidR="00172B93" w:rsidRPr="00684190">
        <w:rPr>
          <w:rFonts w:asciiTheme="minorHAnsi" w:hAnsiTheme="minorHAnsi" w:cstheme="minorHAnsi"/>
        </w:rPr>
        <w:t>otacji</w:t>
      </w:r>
      <w:r w:rsidRPr="00684190">
        <w:rPr>
          <w:rFonts w:asciiTheme="minorHAnsi" w:hAnsiTheme="minorHAnsi" w:cstheme="minorHAnsi"/>
        </w:rPr>
        <w:t>.</w:t>
      </w:r>
    </w:p>
    <w:p w14:paraId="18DA5845" w14:textId="632EEF8D" w:rsidR="002F0F55" w:rsidRPr="00684190" w:rsidRDefault="002F0F55" w:rsidP="005B64DD">
      <w:pPr>
        <w:pStyle w:val="Akapitzlist"/>
        <w:numPr>
          <w:ilvl w:val="6"/>
          <w:numId w:val="20"/>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Jeżeli w wyniku realizacji Inwestycji Końcowej </w:t>
      </w:r>
      <w:r w:rsidR="00177D27" w:rsidRPr="00684190">
        <w:rPr>
          <w:rFonts w:asciiTheme="minorHAnsi" w:hAnsiTheme="minorHAnsi" w:cstheme="minorHAnsi"/>
        </w:rPr>
        <w:t xml:space="preserve">nie zostaną spełnione warunki określone w </w:t>
      </w:r>
      <w:r w:rsidR="003D4B37" w:rsidRPr="00684190">
        <w:rPr>
          <w:rFonts w:asciiTheme="minorHAnsi" w:hAnsiTheme="minorHAnsi" w:cstheme="minorHAnsi"/>
        </w:rPr>
        <w:t>Części</w:t>
      </w:r>
      <w:r w:rsidR="00177D27" w:rsidRPr="00684190">
        <w:rPr>
          <w:rFonts w:asciiTheme="minorHAnsi" w:hAnsiTheme="minorHAnsi" w:cstheme="minorHAnsi"/>
        </w:rPr>
        <w:t xml:space="preserve"> II pkt 2</w:t>
      </w:r>
      <w:r w:rsidR="003D4B37" w:rsidRPr="00684190">
        <w:rPr>
          <w:rFonts w:asciiTheme="minorHAnsi" w:hAnsiTheme="minorHAnsi" w:cstheme="minorHAnsi"/>
        </w:rPr>
        <w:t xml:space="preserve">, </w:t>
      </w:r>
      <w:r w:rsidRPr="00684190">
        <w:rPr>
          <w:rFonts w:asciiTheme="minorHAnsi" w:hAnsiTheme="minorHAnsi" w:cstheme="minorHAnsi"/>
        </w:rPr>
        <w:t xml:space="preserve">kwota </w:t>
      </w:r>
      <w:r w:rsidR="00B31390" w:rsidRPr="00684190">
        <w:rPr>
          <w:rFonts w:asciiTheme="minorHAnsi" w:hAnsiTheme="minorHAnsi" w:cstheme="minorHAnsi"/>
        </w:rPr>
        <w:t>D</w:t>
      </w:r>
      <w:r w:rsidR="00172B93" w:rsidRPr="00684190">
        <w:rPr>
          <w:rFonts w:asciiTheme="minorHAnsi" w:hAnsiTheme="minorHAnsi" w:cstheme="minorHAnsi"/>
        </w:rPr>
        <w:t xml:space="preserve">otacji </w:t>
      </w:r>
      <w:r w:rsidRPr="00684190">
        <w:rPr>
          <w:rFonts w:asciiTheme="minorHAnsi" w:hAnsiTheme="minorHAnsi" w:cstheme="minorHAnsi"/>
        </w:rPr>
        <w:t xml:space="preserve">zostanie dostosowana do właściwego poziomu wynikającego z Części II </w:t>
      </w:r>
      <w:r w:rsidR="00B41C0A" w:rsidRPr="00684190">
        <w:rPr>
          <w:rFonts w:asciiTheme="minorHAnsi" w:hAnsiTheme="minorHAnsi" w:cstheme="minorHAnsi"/>
        </w:rPr>
        <w:t>Karty</w:t>
      </w:r>
      <w:r w:rsidRPr="00684190">
        <w:rPr>
          <w:rFonts w:asciiTheme="minorHAnsi" w:hAnsiTheme="minorHAnsi" w:cstheme="minorHAnsi"/>
        </w:rPr>
        <w:t>.</w:t>
      </w:r>
    </w:p>
    <w:p w14:paraId="195586E0" w14:textId="71B578CB" w:rsidR="007F3BB3" w:rsidRPr="00684190" w:rsidRDefault="007F3BB3" w:rsidP="005B64DD">
      <w:pPr>
        <w:pStyle w:val="Akapitzlist"/>
        <w:numPr>
          <w:ilvl w:val="6"/>
          <w:numId w:val="20"/>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Obniżenie kwoty </w:t>
      </w:r>
      <w:r w:rsidR="00B31390" w:rsidRPr="00684190">
        <w:rPr>
          <w:rFonts w:asciiTheme="minorHAnsi" w:hAnsiTheme="minorHAnsi" w:cstheme="minorHAnsi"/>
        </w:rPr>
        <w:t>D</w:t>
      </w:r>
      <w:r w:rsidR="00132A10" w:rsidRPr="00684190">
        <w:rPr>
          <w:rFonts w:asciiTheme="minorHAnsi" w:hAnsiTheme="minorHAnsi" w:cstheme="minorHAnsi"/>
        </w:rPr>
        <w:t>otacji</w:t>
      </w:r>
      <w:r w:rsidRPr="00684190">
        <w:rPr>
          <w:rFonts w:asciiTheme="minorHAnsi" w:hAnsiTheme="minorHAnsi" w:cstheme="minorHAnsi"/>
        </w:rPr>
        <w:t>, o któr</w:t>
      </w:r>
      <w:r w:rsidR="00132A10" w:rsidRPr="00684190">
        <w:rPr>
          <w:rFonts w:asciiTheme="minorHAnsi" w:hAnsiTheme="minorHAnsi" w:cstheme="minorHAnsi"/>
        </w:rPr>
        <w:t>ej</w:t>
      </w:r>
      <w:r w:rsidRPr="00684190">
        <w:rPr>
          <w:rFonts w:asciiTheme="minorHAnsi" w:hAnsiTheme="minorHAnsi" w:cstheme="minorHAnsi"/>
        </w:rPr>
        <w:t xml:space="preserve"> mowa w </w:t>
      </w:r>
      <w:r w:rsidR="009D3B6D" w:rsidRPr="00684190">
        <w:rPr>
          <w:rFonts w:asciiTheme="minorHAnsi" w:hAnsiTheme="minorHAnsi" w:cstheme="minorHAnsi"/>
        </w:rPr>
        <w:t>pkt</w:t>
      </w:r>
      <w:r w:rsidRPr="00684190">
        <w:rPr>
          <w:rFonts w:asciiTheme="minorHAnsi" w:hAnsiTheme="minorHAnsi" w:cstheme="minorHAnsi"/>
        </w:rPr>
        <w:t xml:space="preserve"> </w:t>
      </w:r>
      <w:r w:rsidR="00C27EF4" w:rsidRPr="00684190">
        <w:rPr>
          <w:rFonts w:asciiTheme="minorHAnsi" w:hAnsiTheme="minorHAnsi" w:cstheme="minorHAnsi"/>
        </w:rPr>
        <w:t>6-</w:t>
      </w:r>
      <w:r w:rsidR="002F0F55" w:rsidRPr="00684190">
        <w:rPr>
          <w:rFonts w:asciiTheme="minorHAnsi" w:hAnsiTheme="minorHAnsi" w:cstheme="minorHAnsi"/>
        </w:rPr>
        <w:t xml:space="preserve">7 </w:t>
      </w:r>
      <w:r w:rsidRPr="00684190">
        <w:rPr>
          <w:rFonts w:asciiTheme="minorHAnsi" w:hAnsiTheme="minorHAnsi" w:cstheme="minorHAnsi"/>
        </w:rPr>
        <w:t xml:space="preserve">skutkuje również obowiązkiem dokonania odpowiedniej korekty udzielonej pomocy de </w:t>
      </w:r>
      <w:proofErr w:type="spellStart"/>
      <w:r w:rsidRPr="00684190">
        <w:rPr>
          <w:rFonts w:asciiTheme="minorHAnsi" w:hAnsiTheme="minorHAnsi" w:cstheme="minorHAnsi"/>
        </w:rPr>
        <w:t>minimis</w:t>
      </w:r>
      <w:proofErr w:type="spellEnd"/>
      <w:r w:rsidRPr="00684190">
        <w:rPr>
          <w:rFonts w:asciiTheme="minorHAnsi" w:hAnsiTheme="minorHAnsi" w:cstheme="minorHAnsi"/>
        </w:rPr>
        <w:t xml:space="preserve"> albo pomocy publicznej.</w:t>
      </w:r>
    </w:p>
    <w:p w14:paraId="2FF413FD" w14:textId="1A35B7D5" w:rsidR="002F0F55" w:rsidRPr="00684190" w:rsidRDefault="002F0F55" w:rsidP="005B64DD">
      <w:pPr>
        <w:pStyle w:val="Akapitzlist"/>
        <w:numPr>
          <w:ilvl w:val="6"/>
          <w:numId w:val="20"/>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W przypadku, gdy w wyniku realizacji Inwestycji Końcowej osiągnięte zostały efekty, które uprawniałyby do uzyskania wyższej wartości </w:t>
      </w:r>
      <w:r w:rsidR="00B31390" w:rsidRPr="00684190">
        <w:rPr>
          <w:rFonts w:asciiTheme="minorHAnsi" w:hAnsiTheme="minorHAnsi" w:cstheme="minorHAnsi"/>
        </w:rPr>
        <w:t>D</w:t>
      </w:r>
      <w:r w:rsidR="00132A10" w:rsidRPr="00684190">
        <w:rPr>
          <w:rFonts w:asciiTheme="minorHAnsi" w:hAnsiTheme="minorHAnsi" w:cstheme="minorHAnsi"/>
        </w:rPr>
        <w:t xml:space="preserve">otacji </w:t>
      </w:r>
      <w:r w:rsidRPr="00684190">
        <w:rPr>
          <w:rFonts w:asciiTheme="minorHAnsi" w:hAnsiTheme="minorHAnsi" w:cstheme="minorHAnsi"/>
        </w:rPr>
        <w:t xml:space="preserve">niż wartość przewidziana w Umowie Inwestycyjnej, </w:t>
      </w:r>
      <w:r w:rsidR="00E27747" w:rsidRPr="00684190">
        <w:rPr>
          <w:rFonts w:asciiTheme="minorHAnsi" w:hAnsiTheme="minorHAnsi" w:cstheme="minorHAnsi"/>
        </w:rPr>
        <w:t xml:space="preserve">nie przysługuje </w:t>
      </w:r>
      <w:r w:rsidRPr="00684190">
        <w:rPr>
          <w:rFonts w:asciiTheme="minorHAnsi" w:hAnsiTheme="minorHAnsi" w:cstheme="minorHAnsi"/>
        </w:rPr>
        <w:t xml:space="preserve">prawo do </w:t>
      </w:r>
      <w:r w:rsidR="00E27747" w:rsidRPr="00684190">
        <w:rPr>
          <w:rFonts w:asciiTheme="minorHAnsi" w:hAnsiTheme="minorHAnsi" w:cstheme="minorHAnsi"/>
        </w:rPr>
        <w:t xml:space="preserve">podwyższenia </w:t>
      </w:r>
      <w:r w:rsidR="00B31390" w:rsidRPr="00684190">
        <w:rPr>
          <w:rFonts w:asciiTheme="minorHAnsi" w:hAnsiTheme="minorHAnsi" w:cstheme="minorHAnsi"/>
        </w:rPr>
        <w:t>zastosowanej</w:t>
      </w:r>
      <w:r w:rsidR="00E27747" w:rsidRPr="00684190">
        <w:rPr>
          <w:rFonts w:asciiTheme="minorHAnsi" w:hAnsiTheme="minorHAnsi" w:cstheme="minorHAnsi"/>
        </w:rPr>
        <w:t xml:space="preserve"> </w:t>
      </w:r>
      <w:r w:rsidR="00B31390" w:rsidRPr="00684190">
        <w:rPr>
          <w:rFonts w:asciiTheme="minorHAnsi" w:hAnsiTheme="minorHAnsi" w:cstheme="minorHAnsi"/>
        </w:rPr>
        <w:t>D</w:t>
      </w:r>
      <w:r w:rsidR="00132A10" w:rsidRPr="00684190">
        <w:rPr>
          <w:rFonts w:asciiTheme="minorHAnsi" w:hAnsiTheme="minorHAnsi" w:cstheme="minorHAnsi"/>
        </w:rPr>
        <w:t xml:space="preserve">otacji </w:t>
      </w:r>
      <w:r w:rsidRPr="00684190">
        <w:rPr>
          <w:rFonts w:asciiTheme="minorHAnsi" w:hAnsiTheme="minorHAnsi" w:cstheme="minorHAnsi"/>
        </w:rPr>
        <w:t xml:space="preserve">z </w:t>
      </w:r>
      <w:r w:rsidR="002E04E6" w:rsidRPr="00684190">
        <w:rPr>
          <w:rFonts w:asciiTheme="minorHAnsi" w:hAnsiTheme="minorHAnsi" w:cstheme="minorHAnsi"/>
        </w:rPr>
        <w:t xml:space="preserve">wyżej wymienionego </w:t>
      </w:r>
      <w:r w:rsidRPr="00684190">
        <w:rPr>
          <w:rFonts w:asciiTheme="minorHAnsi" w:hAnsiTheme="minorHAnsi" w:cstheme="minorHAnsi"/>
        </w:rPr>
        <w:t>tytułu.</w:t>
      </w:r>
    </w:p>
    <w:p w14:paraId="5708817E" w14:textId="0380E39B" w:rsidR="002D085D" w:rsidRPr="00684190" w:rsidRDefault="00132A10" w:rsidP="005B64DD">
      <w:pPr>
        <w:pStyle w:val="Akapitzlist"/>
        <w:numPr>
          <w:ilvl w:val="6"/>
          <w:numId w:val="20"/>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 Dotacja </w:t>
      </w:r>
      <w:r w:rsidR="007F3BB3" w:rsidRPr="00684190">
        <w:rPr>
          <w:rFonts w:asciiTheme="minorHAnsi" w:hAnsiTheme="minorHAnsi" w:cstheme="minorHAnsi"/>
        </w:rPr>
        <w:t xml:space="preserve">może </w:t>
      </w:r>
      <w:r w:rsidR="00B31390" w:rsidRPr="00684190">
        <w:rPr>
          <w:rFonts w:asciiTheme="minorHAnsi" w:hAnsiTheme="minorHAnsi" w:cstheme="minorHAnsi"/>
        </w:rPr>
        <w:t xml:space="preserve">zostać zastosowana </w:t>
      </w:r>
      <w:r w:rsidR="007F3BB3" w:rsidRPr="00684190">
        <w:rPr>
          <w:rFonts w:asciiTheme="minorHAnsi" w:hAnsiTheme="minorHAnsi" w:cstheme="minorHAnsi"/>
        </w:rPr>
        <w:t>po dokonaniu przez Ostatecznego Odbiorcę</w:t>
      </w:r>
      <w:r w:rsidR="002D085D" w:rsidRPr="00684190">
        <w:rPr>
          <w:rFonts w:asciiTheme="minorHAnsi" w:hAnsiTheme="minorHAnsi" w:cstheme="minorHAnsi"/>
        </w:rPr>
        <w:t>:</w:t>
      </w:r>
    </w:p>
    <w:p w14:paraId="37A1D4B8" w14:textId="5662F716" w:rsidR="007F3BB3" w:rsidRPr="00684190" w:rsidRDefault="002D085D" w:rsidP="005B64DD">
      <w:pPr>
        <w:pStyle w:val="Akapitzlist"/>
        <w:numPr>
          <w:ilvl w:val="2"/>
          <w:numId w:val="45"/>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 xml:space="preserve">w przypadkach określonych w pkt 6 </w:t>
      </w:r>
      <w:proofErr w:type="spellStart"/>
      <w:r w:rsidR="00E73F83" w:rsidRPr="00684190">
        <w:rPr>
          <w:rFonts w:asciiTheme="minorHAnsi" w:hAnsiTheme="minorHAnsi" w:cstheme="minorHAnsi"/>
        </w:rPr>
        <w:t>ppkt</w:t>
      </w:r>
      <w:proofErr w:type="spellEnd"/>
      <w:r w:rsidR="00E73F83" w:rsidRPr="00684190">
        <w:rPr>
          <w:rFonts w:asciiTheme="minorHAnsi" w:hAnsiTheme="minorHAnsi" w:cstheme="minorHAnsi"/>
        </w:rPr>
        <w:t xml:space="preserve"> 2)-3)</w:t>
      </w:r>
      <w:r w:rsidR="007F3BB3" w:rsidRPr="00684190">
        <w:rPr>
          <w:rFonts w:asciiTheme="minorHAnsi" w:hAnsiTheme="minorHAnsi" w:cstheme="minorHAnsi"/>
        </w:rPr>
        <w:t xml:space="preserve"> </w:t>
      </w:r>
      <w:r w:rsidRPr="00684190">
        <w:rPr>
          <w:rFonts w:asciiTheme="minorHAnsi" w:hAnsiTheme="minorHAnsi" w:cstheme="minorHAnsi"/>
        </w:rPr>
        <w:t xml:space="preserve">zwrotu </w:t>
      </w:r>
      <w:r w:rsidR="007F3BB3" w:rsidRPr="00684190">
        <w:rPr>
          <w:rFonts w:asciiTheme="minorHAnsi" w:hAnsiTheme="minorHAnsi" w:cstheme="minorHAnsi"/>
        </w:rPr>
        <w:t>niewykorzystanej oraz niespełniającej Zasad Kwalifikowalności części Jednostkowej Pożyczki</w:t>
      </w:r>
      <w:r w:rsidRPr="00684190">
        <w:rPr>
          <w:rFonts w:asciiTheme="minorHAnsi" w:hAnsiTheme="minorHAnsi" w:cstheme="minorHAnsi"/>
        </w:rPr>
        <w:t xml:space="preserve"> oraz</w:t>
      </w:r>
    </w:p>
    <w:p w14:paraId="7AF3857E" w14:textId="11B65E9E" w:rsidR="002D085D" w:rsidRPr="00684190" w:rsidRDefault="002D085D" w:rsidP="005B64DD">
      <w:pPr>
        <w:pStyle w:val="Akapitzlist"/>
        <w:numPr>
          <w:ilvl w:val="2"/>
          <w:numId w:val="45"/>
        </w:numPr>
        <w:spacing w:before="120" w:after="0"/>
        <w:ind w:left="851" w:hanging="284"/>
        <w:contextualSpacing w:val="0"/>
        <w:jc w:val="both"/>
        <w:rPr>
          <w:rFonts w:asciiTheme="minorHAnsi" w:hAnsiTheme="minorHAnsi" w:cstheme="minorHAnsi"/>
        </w:rPr>
      </w:pPr>
      <w:r w:rsidRPr="00684190">
        <w:rPr>
          <w:rFonts w:asciiTheme="minorHAnsi" w:hAnsiTheme="minorHAnsi" w:cstheme="minorHAnsi"/>
        </w:rPr>
        <w:t xml:space="preserve">zapłaty wszystkich rat Jednostkowej Pożyczki przypadających do zapłaty do dnia </w:t>
      </w:r>
      <w:r w:rsidR="00B31390" w:rsidRPr="00684190">
        <w:rPr>
          <w:rFonts w:asciiTheme="minorHAnsi" w:hAnsiTheme="minorHAnsi" w:cstheme="minorHAnsi"/>
        </w:rPr>
        <w:t>zastosowania D</w:t>
      </w:r>
      <w:r w:rsidR="00132A10" w:rsidRPr="00684190">
        <w:rPr>
          <w:rFonts w:asciiTheme="minorHAnsi" w:hAnsiTheme="minorHAnsi" w:cstheme="minorHAnsi"/>
        </w:rPr>
        <w:t xml:space="preserve">otacji </w:t>
      </w:r>
      <w:r w:rsidRPr="00684190">
        <w:rPr>
          <w:rFonts w:asciiTheme="minorHAnsi" w:hAnsiTheme="minorHAnsi" w:cstheme="minorHAnsi"/>
        </w:rPr>
        <w:t>określonego zgodnie z pkt 1</w:t>
      </w:r>
      <w:r w:rsidR="00417018" w:rsidRPr="00684190">
        <w:rPr>
          <w:rFonts w:asciiTheme="minorHAnsi" w:hAnsiTheme="minorHAnsi" w:cstheme="minorHAnsi"/>
        </w:rPr>
        <w:t>2</w:t>
      </w:r>
      <w:r w:rsidR="00094BDB" w:rsidRPr="00684190">
        <w:rPr>
          <w:rStyle w:val="Odwoanieprzypisudolnego"/>
          <w:rFonts w:asciiTheme="minorHAnsi" w:hAnsiTheme="minorHAnsi" w:cstheme="minorHAnsi"/>
        </w:rPr>
        <w:footnoteReference w:id="9"/>
      </w:r>
      <w:r w:rsidRPr="00684190">
        <w:rPr>
          <w:rFonts w:asciiTheme="minorHAnsi" w:hAnsiTheme="minorHAnsi" w:cstheme="minorHAnsi"/>
        </w:rPr>
        <w:t>.</w:t>
      </w:r>
    </w:p>
    <w:p w14:paraId="566A6CDC" w14:textId="0D9EE2EE" w:rsidR="007F3BB3" w:rsidRPr="00684190" w:rsidRDefault="00132A10" w:rsidP="005B64DD">
      <w:pPr>
        <w:pStyle w:val="Akapitzlist"/>
        <w:numPr>
          <w:ilvl w:val="6"/>
          <w:numId w:val="20"/>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 </w:t>
      </w:r>
      <w:r w:rsidR="00E2650E" w:rsidRPr="00684190">
        <w:rPr>
          <w:rFonts w:asciiTheme="minorHAnsi" w:hAnsiTheme="minorHAnsi" w:cstheme="minorHAnsi"/>
        </w:rPr>
        <w:t xml:space="preserve">Zastosowanie Dotacji następuje </w:t>
      </w:r>
      <w:r w:rsidR="00B31390" w:rsidRPr="00684190">
        <w:rPr>
          <w:rFonts w:asciiTheme="minorHAnsi" w:hAnsiTheme="minorHAnsi" w:cstheme="minorHAnsi"/>
        </w:rPr>
        <w:t xml:space="preserve">wyłącznie </w:t>
      </w:r>
      <w:r w:rsidR="00E2650E" w:rsidRPr="00684190">
        <w:rPr>
          <w:rFonts w:asciiTheme="minorHAnsi" w:hAnsiTheme="minorHAnsi" w:cstheme="minorHAnsi"/>
        </w:rPr>
        <w:t xml:space="preserve">na </w:t>
      </w:r>
      <w:r w:rsidR="00B31390" w:rsidRPr="00684190">
        <w:rPr>
          <w:rFonts w:asciiTheme="minorHAnsi" w:hAnsiTheme="minorHAnsi" w:cstheme="minorHAnsi"/>
        </w:rPr>
        <w:t>kapita</w:t>
      </w:r>
      <w:r w:rsidR="00E2650E" w:rsidRPr="00684190">
        <w:rPr>
          <w:rFonts w:asciiTheme="minorHAnsi" w:hAnsiTheme="minorHAnsi" w:cstheme="minorHAnsi"/>
        </w:rPr>
        <w:t>le</w:t>
      </w:r>
      <w:r w:rsidR="007F3BB3" w:rsidRPr="00684190">
        <w:rPr>
          <w:rFonts w:asciiTheme="minorHAnsi" w:hAnsiTheme="minorHAnsi" w:cstheme="minorHAnsi"/>
        </w:rPr>
        <w:t xml:space="preserve"> Jednostkowej Pożyczki w części Wkładu Funduszu Powierniczego pochodzącej z Europejskiego Funduszu Rozwoju Regionalnego i nie może przekroczyć kwoty kapitału pozostałej do spłaty przypisanej do tego źródła finansowania na dzień </w:t>
      </w:r>
      <w:r w:rsidR="00B31390" w:rsidRPr="00684190">
        <w:rPr>
          <w:rFonts w:asciiTheme="minorHAnsi" w:hAnsiTheme="minorHAnsi" w:cstheme="minorHAnsi"/>
        </w:rPr>
        <w:t>zastosowania Dotacji</w:t>
      </w:r>
      <w:r w:rsidR="007F3BB3" w:rsidRPr="00684190">
        <w:rPr>
          <w:rFonts w:asciiTheme="minorHAnsi" w:hAnsiTheme="minorHAnsi" w:cstheme="minorHAnsi"/>
        </w:rPr>
        <w:t>.</w:t>
      </w:r>
    </w:p>
    <w:p w14:paraId="68E608A9" w14:textId="5B8D2B9C" w:rsidR="00417018" w:rsidRPr="00684190" w:rsidRDefault="00132A10" w:rsidP="005B64DD">
      <w:pPr>
        <w:pStyle w:val="Akapitzlist"/>
        <w:numPr>
          <w:ilvl w:val="6"/>
          <w:numId w:val="20"/>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lastRenderedPageBreak/>
        <w:t xml:space="preserve"> </w:t>
      </w:r>
      <w:r w:rsidR="00417018" w:rsidRPr="00684190">
        <w:rPr>
          <w:rFonts w:asciiTheme="minorHAnsi" w:hAnsiTheme="minorHAnsi" w:cstheme="minorHAnsi"/>
        </w:rPr>
        <w:t xml:space="preserve">Dniem </w:t>
      </w:r>
      <w:r w:rsidR="00B31390" w:rsidRPr="00684190">
        <w:rPr>
          <w:rFonts w:asciiTheme="minorHAnsi" w:hAnsiTheme="minorHAnsi" w:cstheme="minorHAnsi"/>
        </w:rPr>
        <w:t>zastosowania D</w:t>
      </w:r>
      <w:r w:rsidRPr="00684190">
        <w:rPr>
          <w:rFonts w:asciiTheme="minorHAnsi" w:hAnsiTheme="minorHAnsi" w:cstheme="minorHAnsi"/>
        </w:rPr>
        <w:t xml:space="preserve">otacji </w:t>
      </w:r>
      <w:r w:rsidR="00417018" w:rsidRPr="00684190">
        <w:rPr>
          <w:rFonts w:asciiTheme="minorHAnsi" w:hAnsiTheme="minorHAnsi" w:cstheme="minorHAnsi"/>
        </w:rPr>
        <w:t>jest dzień przewidziany do zapłaty raty Jednostkowej Pożyczki</w:t>
      </w:r>
      <w:r w:rsidR="00910610" w:rsidRPr="00684190">
        <w:rPr>
          <w:rFonts w:asciiTheme="minorHAnsi" w:hAnsiTheme="minorHAnsi" w:cstheme="minorHAnsi"/>
        </w:rPr>
        <w:t>,</w:t>
      </w:r>
      <w:r w:rsidR="00417018" w:rsidRPr="00684190">
        <w:rPr>
          <w:rFonts w:asciiTheme="minorHAnsi" w:hAnsiTheme="minorHAnsi" w:cstheme="minorHAnsi"/>
        </w:rPr>
        <w:t xml:space="preserve"> wskazany w obowiązującym harmonogramie spłat, przypadający w najwcześniejszym terminie po dokonaniu wszystkich czynności przewidzianych w </w:t>
      </w:r>
      <w:r w:rsidR="009D3B6D" w:rsidRPr="00684190">
        <w:rPr>
          <w:rFonts w:asciiTheme="minorHAnsi" w:hAnsiTheme="minorHAnsi" w:cstheme="minorHAnsi"/>
        </w:rPr>
        <w:t>pkt</w:t>
      </w:r>
      <w:r w:rsidR="00417018" w:rsidRPr="00684190">
        <w:rPr>
          <w:rFonts w:asciiTheme="minorHAnsi" w:hAnsiTheme="minorHAnsi" w:cstheme="minorHAnsi"/>
        </w:rPr>
        <w:t xml:space="preserve"> </w:t>
      </w:r>
      <w:r w:rsidR="009E7418" w:rsidRPr="00684190">
        <w:rPr>
          <w:rFonts w:asciiTheme="minorHAnsi" w:hAnsiTheme="minorHAnsi" w:cstheme="minorHAnsi"/>
        </w:rPr>
        <w:t>5</w:t>
      </w:r>
      <w:r w:rsidR="00417018" w:rsidRPr="00684190">
        <w:rPr>
          <w:rFonts w:asciiTheme="minorHAnsi" w:hAnsiTheme="minorHAnsi" w:cstheme="minorHAnsi"/>
        </w:rPr>
        <w:t xml:space="preserve"> oraz spełnieniu warun</w:t>
      </w:r>
      <w:r w:rsidR="00B111B7" w:rsidRPr="00684190">
        <w:rPr>
          <w:rFonts w:asciiTheme="minorHAnsi" w:hAnsiTheme="minorHAnsi" w:cstheme="minorHAnsi"/>
        </w:rPr>
        <w:t>ków, o których mowa w pkt 10</w:t>
      </w:r>
      <w:r w:rsidR="00417018" w:rsidRPr="00684190">
        <w:rPr>
          <w:rFonts w:asciiTheme="minorHAnsi" w:hAnsiTheme="minorHAnsi" w:cstheme="minorHAnsi"/>
        </w:rPr>
        <w:t>.</w:t>
      </w:r>
    </w:p>
    <w:p w14:paraId="4BDF21D7" w14:textId="270D03DF" w:rsidR="007F3BB3" w:rsidRPr="00684190" w:rsidRDefault="00D90052" w:rsidP="005B64DD">
      <w:pPr>
        <w:pStyle w:val="Akapitzlist"/>
        <w:numPr>
          <w:ilvl w:val="6"/>
          <w:numId w:val="20"/>
        </w:numPr>
        <w:spacing w:before="120" w:after="0"/>
        <w:ind w:left="284" w:hanging="284"/>
        <w:contextualSpacing w:val="0"/>
        <w:jc w:val="both"/>
        <w:rPr>
          <w:rFonts w:asciiTheme="minorHAnsi" w:hAnsiTheme="minorHAnsi" w:cstheme="minorHAnsi"/>
        </w:rPr>
      </w:pPr>
      <w:r w:rsidRPr="00684190">
        <w:rPr>
          <w:rFonts w:asciiTheme="minorHAnsi" w:hAnsiTheme="minorHAnsi" w:cstheme="minorHAnsi"/>
        </w:rPr>
        <w:t xml:space="preserve"> </w:t>
      </w:r>
      <w:r w:rsidR="00900160" w:rsidRPr="00684190">
        <w:rPr>
          <w:rFonts w:asciiTheme="minorHAnsi" w:hAnsiTheme="minorHAnsi" w:cstheme="minorHAnsi"/>
        </w:rPr>
        <w:t>Wraz z zastosowaniem Dotacji następuje obniżenie salda Jednostkowej Pożyczki pozostającego do spłaty. Partner Finansujący przygotowuje i przekazuje Ostatecznemu Odbiorcy nowy, pomniejszony o kwotę Dotacji harmonogram spłat Jednostkowej Pożyczki, który nie modyfikuje pierwotnie udzielonego okresu jej spłaty</w:t>
      </w:r>
      <w:r w:rsidR="007F3BB3" w:rsidRPr="00684190">
        <w:rPr>
          <w:rFonts w:asciiTheme="minorHAnsi" w:hAnsiTheme="minorHAnsi" w:cstheme="minorHAnsi"/>
        </w:rPr>
        <w:t>.</w:t>
      </w:r>
    </w:p>
    <w:p w14:paraId="09BAA01C" w14:textId="23406F9E" w:rsidR="001327AA" w:rsidRPr="00684190" w:rsidRDefault="0030295A" w:rsidP="005B64DD">
      <w:pPr>
        <w:pStyle w:val="Nagwek1"/>
        <w:spacing w:before="120"/>
        <w:rPr>
          <w:rFonts w:asciiTheme="minorHAnsi" w:hAnsiTheme="minorHAnsi" w:cstheme="minorHAnsi"/>
          <w:color w:val="auto"/>
        </w:rPr>
      </w:pPr>
      <w:r w:rsidRPr="00684190">
        <w:rPr>
          <w:rFonts w:asciiTheme="minorHAnsi" w:hAnsiTheme="minorHAnsi" w:cstheme="minorHAnsi"/>
          <w:color w:val="auto"/>
        </w:rPr>
        <w:t xml:space="preserve">Część </w:t>
      </w:r>
      <w:r w:rsidR="001327AA" w:rsidRPr="00684190">
        <w:rPr>
          <w:rFonts w:asciiTheme="minorHAnsi" w:hAnsiTheme="minorHAnsi" w:cstheme="minorHAnsi"/>
          <w:color w:val="auto"/>
        </w:rPr>
        <w:t>X Zasady dotyczące udzielania Jednostkowych Pożyczek podlegających regułom pomocy publicznej</w:t>
      </w:r>
    </w:p>
    <w:p w14:paraId="0F2D7FE2" w14:textId="77777777" w:rsidR="00E16D51" w:rsidRPr="00684190" w:rsidRDefault="00E16D51" w:rsidP="005B64DD">
      <w:pPr>
        <w:numPr>
          <w:ilvl w:val="0"/>
          <w:numId w:val="7"/>
        </w:numPr>
        <w:spacing w:before="120" w:after="0"/>
        <w:ind w:left="284" w:hanging="284"/>
        <w:jc w:val="both"/>
        <w:rPr>
          <w:rFonts w:asciiTheme="minorHAnsi" w:eastAsia="Times New Roman" w:hAnsiTheme="minorHAnsi" w:cstheme="minorHAnsi"/>
        </w:rPr>
      </w:pPr>
      <w:r w:rsidRPr="00684190">
        <w:rPr>
          <w:rFonts w:asciiTheme="minorHAnsi" w:eastAsia="Times New Roman" w:hAnsiTheme="minorHAnsi" w:cstheme="minorHAnsi"/>
        </w:rPr>
        <w:t xml:space="preserve">Udzielenie Jednostkowej Pożyczki na warunkach korzystniejszych niż rynkowe może wiązać się z wystąpieniem pomocy publicznej. </w:t>
      </w:r>
    </w:p>
    <w:p w14:paraId="5F8FBD44" w14:textId="77777777" w:rsidR="00E16D51" w:rsidRPr="00684190" w:rsidRDefault="00E16D51" w:rsidP="005B64DD">
      <w:pPr>
        <w:numPr>
          <w:ilvl w:val="0"/>
          <w:numId w:val="7"/>
        </w:numPr>
        <w:spacing w:before="120" w:after="0"/>
        <w:ind w:left="284" w:hanging="284"/>
        <w:jc w:val="both"/>
        <w:rPr>
          <w:rFonts w:asciiTheme="minorHAnsi" w:eastAsia="Times New Roman" w:hAnsiTheme="minorHAnsi" w:cstheme="minorHAnsi"/>
        </w:rPr>
      </w:pPr>
      <w:r w:rsidRPr="00684190">
        <w:rPr>
          <w:rFonts w:asciiTheme="minorHAnsi" w:eastAsia="Times New Roman" w:hAnsiTheme="minorHAnsi" w:cstheme="minorHAnsi"/>
        </w:rPr>
        <w:t xml:space="preserve">Objęcie Jednostkowej Pożyczki regułami pomocy publicznej należy rozpatrywać m.in. w kontekście tego czy wnioskodawca spełnia definicję „przedsiębiorstwa” zawartą w załączniku I do Rozporządzenia Komisji (UE) nr 651/2014. Przepisy o pomocy publicznej mają zastosowanie do przedsiębiorstw tj. podmiotów prowadzących działalność gospodarczą, bez względu na ich status prawny i sposób ich finansowania. Za działalność gospodarczą uważa się wszelką działalność polegającą na oferowaniu towarów i usług na rynku. W każdym przypadku badanie statusu przedsiębiorstwa trzeba odnosić do konkretnej działalności danego podmiotu, który w pewnych sferach działalności może być uznawany za przedsiębiorstwo, natomiast w innych za podmiot nieprowadzący działalności gospodarczej. Prowadząc takie badanie można posiłkować się m.in. zapisami </w:t>
      </w:r>
      <w:hyperlink r:id="rId9" w:history="1">
        <w:r w:rsidRPr="00684190">
          <w:rPr>
            <w:rStyle w:val="Hipercze"/>
            <w:rFonts w:asciiTheme="minorHAnsi" w:eastAsia="Times New Roman" w:hAnsiTheme="minorHAnsi" w:cstheme="minorHAnsi"/>
            <w:color w:val="auto"/>
          </w:rPr>
          <w:t>Zawiadomienia Komisji w sprawie pojęcia pomocy państwa w rozumieniu art. 107 ust. 1 Traktatu o funkcjonowaniu Unii Europejskiej</w:t>
        </w:r>
      </w:hyperlink>
      <w:r w:rsidRPr="00684190">
        <w:rPr>
          <w:rFonts w:asciiTheme="minorHAnsi" w:eastAsia="Times New Roman" w:hAnsiTheme="minorHAnsi" w:cstheme="minorHAnsi"/>
        </w:rPr>
        <w:t>.</w:t>
      </w:r>
    </w:p>
    <w:p w14:paraId="285CD470" w14:textId="736702EA" w:rsidR="00E16D51" w:rsidRPr="00684190" w:rsidRDefault="00E16D51" w:rsidP="005B64DD">
      <w:pPr>
        <w:numPr>
          <w:ilvl w:val="0"/>
          <w:numId w:val="7"/>
        </w:numPr>
        <w:spacing w:before="120" w:after="0"/>
        <w:ind w:left="284" w:hanging="284"/>
        <w:jc w:val="both"/>
        <w:rPr>
          <w:rFonts w:asciiTheme="minorHAnsi" w:eastAsia="Times New Roman" w:hAnsiTheme="minorHAnsi" w:cstheme="minorHAnsi"/>
        </w:rPr>
      </w:pPr>
      <w:r w:rsidRPr="00684190">
        <w:rPr>
          <w:rFonts w:asciiTheme="minorHAnsi" w:hAnsiTheme="minorHAnsi" w:cstheme="minorHAnsi"/>
        </w:rPr>
        <w:t>Wsparcie udzielone jednostce samorządu terytorialnego/wspólnocie mieszkaniowej w ramach Jednostkowej Pożyczki, co do zasady nie będzie stanowić pomocy publicznej. Z zastrzeżeniem ust. 4, w przypadku gdy podmioty te prowadzą działalność gospodarczą, wsparcie udzielane będzie zgodnie z właściwymi przepisami prawa dotyczącymi zasad udzielania tej pomocy, obowiązującymi na dzień udzielania wsparcia.</w:t>
      </w:r>
    </w:p>
    <w:p w14:paraId="0C4E9466" w14:textId="77777777" w:rsidR="00E16D51" w:rsidRPr="00684190" w:rsidRDefault="00E16D51" w:rsidP="005B64DD">
      <w:pPr>
        <w:numPr>
          <w:ilvl w:val="0"/>
          <w:numId w:val="7"/>
        </w:numPr>
        <w:spacing w:before="120" w:after="0"/>
        <w:ind w:left="284" w:hanging="284"/>
        <w:jc w:val="both"/>
        <w:rPr>
          <w:rFonts w:asciiTheme="minorHAnsi" w:eastAsia="Times New Roman" w:hAnsiTheme="minorHAnsi" w:cstheme="minorHAnsi"/>
        </w:rPr>
      </w:pPr>
      <w:r w:rsidRPr="00684190">
        <w:rPr>
          <w:rFonts w:asciiTheme="minorHAnsi" w:eastAsia="Times New Roman" w:hAnsiTheme="minorHAnsi" w:cstheme="minorHAnsi"/>
        </w:rPr>
        <w:t>Inwestycje Końcowe realizowane w budynkach, w których ponad 15% powierzchni całkowitej budynku służy prowadzeniu działalności gospodarczej nie mogą uzyskać wsparcia w formie bez pomocy publicznej.</w:t>
      </w:r>
    </w:p>
    <w:p w14:paraId="3D9FBA03" w14:textId="77777777" w:rsidR="00E16D51" w:rsidRPr="00684190" w:rsidRDefault="00E16D51" w:rsidP="005B64DD">
      <w:pPr>
        <w:numPr>
          <w:ilvl w:val="0"/>
          <w:numId w:val="7"/>
        </w:numPr>
        <w:spacing w:before="120" w:after="0"/>
        <w:ind w:left="284" w:hanging="284"/>
        <w:jc w:val="both"/>
        <w:rPr>
          <w:rFonts w:asciiTheme="minorHAnsi" w:eastAsia="Times New Roman" w:hAnsiTheme="minorHAnsi" w:cstheme="minorHAnsi"/>
        </w:rPr>
      </w:pPr>
      <w:r w:rsidRPr="00684190">
        <w:rPr>
          <w:rFonts w:asciiTheme="minorHAnsi" w:eastAsia="Times New Roman" w:hAnsiTheme="minorHAnsi" w:cstheme="minorHAnsi"/>
        </w:rPr>
        <w:t>W przypadku gdy, w wyniku dokonanej przez Partnera Finansującego analizy planowanej Inwestycji Końcowej oraz podmiotu ubiegającego się o Jednostkową Pożyczkę, jej udzielenie będzie podlegało regułom pomocy publicznej, mają zastosowanie poniższe zasady.</w:t>
      </w:r>
    </w:p>
    <w:p w14:paraId="5E440D80" w14:textId="491C7128" w:rsidR="003A5384" w:rsidRPr="00684190" w:rsidRDefault="003A5384" w:rsidP="005B64DD">
      <w:pPr>
        <w:numPr>
          <w:ilvl w:val="0"/>
          <w:numId w:val="7"/>
        </w:numPr>
        <w:spacing w:before="120" w:after="0"/>
        <w:ind w:left="284" w:hanging="284"/>
        <w:jc w:val="both"/>
        <w:rPr>
          <w:rFonts w:asciiTheme="minorHAnsi" w:eastAsia="Times New Roman" w:hAnsiTheme="minorHAnsi" w:cstheme="minorHAnsi"/>
        </w:rPr>
      </w:pPr>
      <w:r w:rsidRPr="00684190">
        <w:rPr>
          <w:rFonts w:asciiTheme="minorHAnsi" w:eastAsia="Times New Roman" w:hAnsiTheme="minorHAnsi" w:cstheme="minorHAnsi"/>
        </w:rPr>
        <w:t xml:space="preserve">Jednostkowe Pożyczki podlegające regułom pomocy publicznej mogą być udzielane w </w:t>
      </w:r>
      <w:r w:rsidR="00BD2963" w:rsidRPr="00684190">
        <w:rPr>
          <w:rFonts w:asciiTheme="minorHAnsi" w:eastAsia="Times New Roman" w:hAnsiTheme="minorHAnsi" w:cstheme="minorHAnsi"/>
        </w:rPr>
        <w:t xml:space="preserve">następujących </w:t>
      </w:r>
      <w:r w:rsidRPr="00684190">
        <w:rPr>
          <w:rFonts w:asciiTheme="minorHAnsi" w:eastAsia="Times New Roman" w:hAnsiTheme="minorHAnsi" w:cstheme="minorHAnsi"/>
        </w:rPr>
        <w:t>form</w:t>
      </w:r>
      <w:r w:rsidR="00BD2963" w:rsidRPr="00684190">
        <w:rPr>
          <w:rFonts w:asciiTheme="minorHAnsi" w:eastAsia="Times New Roman" w:hAnsiTheme="minorHAnsi" w:cstheme="minorHAnsi"/>
        </w:rPr>
        <w:t>ach</w:t>
      </w:r>
      <w:r w:rsidRPr="00684190">
        <w:rPr>
          <w:rFonts w:asciiTheme="minorHAnsi" w:eastAsia="Times New Roman" w:hAnsiTheme="minorHAnsi" w:cstheme="minorHAnsi"/>
        </w:rPr>
        <w:t>:</w:t>
      </w:r>
    </w:p>
    <w:p w14:paraId="73C6E347" w14:textId="262A7688" w:rsidR="003A5384" w:rsidRPr="00684190" w:rsidRDefault="00BD2963" w:rsidP="00595ADC">
      <w:pPr>
        <w:numPr>
          <w:ilvl w:val="0"/>
          <w:numId w:val="46"/>
        </w:numPr>
        <w:spacing w:before="120" w:after="0"/>
        <w:ind w:left="851" w:hanging="284"/>
        <w:jc w:val="both"/>
        <w:rPr>
          <w:rFonts w:asciiTheme="minorHAnsi" w:eastAsia="Times New Roman" w:hAnsiTheme="minorHAnsi" w:cstheme="minorHAnsi"/>
        </w:rPr>
      </w:pPr>
      <w:r w:rsidRPr="00684190">
        <w:rPr>
          <w:rFonts w:asciiTheme="minorHAnsi" w:eastAsia="Times New Roman" w:hAnsiTheme="minorHAnsi" w:cstheme="minorHAnsi"/>
        </w:rPr>
        <w:t xml:space="preserve">pomocy de </w:t>
      </w:r>
      <w:proofErr w:type="spellStart"/>
      <w:r w:rsidRPr="00684190">
        <w:rPr>
          <w:rFonts w:asciiTheme="minorHAnsi" w:eastAsia="Times New Roman" w:hAnsiTheme="minorHAnsi" w:cstheme="minorHAnsi"/>
        </w:rPr>
        <w:t>minimis</w:t>
      </w:r>
      <w:proofErr w:type="spellEnd"/>
      <w:r w:rsidR="00122C95" w:rsidRPr="00684190">
        <w:rPr>
          <w:rFonts w:asciiTheme="minorHAnsi" w:eastAsia="Times New Roman" w:hAnsiTheme="minorHAnsi" w:cstheme="minorHAnsi"/>
        </w:rPr>
        <w:t xml:space="preserve"> – </w:t>
      </w:r>
      <w:r w:rsidRPr="00684190">
        <w:rPr>
          <w:rFonts w:asciiTheme="minorHAnsi" w:eastAsia="Times New Roman" w:hAnsiTheme="minorHAnsi" w:cstheme="minorHAnsi"/>
        </w:rPr>
        <w:t xml:space="preserve">udzielanej zgodnie z zasadami i warunkami określonymi w rozporządzeniu Komisji (UE) 2023/2831 oraz </w:t>
      </w:r>
      <w:r w:rsidR="002E552F" w:rsidRPr="00684190">
        <w:rPr>
          <w:rFonts w:asciiTheme="minorHAnsi" w:eastAsia="Times New Roman" w:hAnsiTheme="minorHAnsi" w:cstheme="minorHAnsi"/>
        </w:rPr>
        <w:t xml:space="preserve">na podstawie </w:t>
      </w:r>
      <w:r w:rsidR="00EC24C3" w:rsidRPr="00684190">
        <w:rPr>
          <w:rFonts w:asciiTheme="minorHAnsi" w:eastAsia="Times New Roman" w:hAnsiTheme="minorHAnsi" w:cstheme="minorHAnsi"/>
        </w:rPr>
        <w:t xml:space="preserve">Rozporządzenia Ministra Funduszy i Polityki Regionalnej z dnia 17 kwietnia 2024 r w sprawie udzielania pomocy de </w:t>
      </w:r>
      <w:proofErr w:type="spellStart"/>
      <w:r w:rsidR="00EC24C3" w:rsidRPr="00684190">
        <w:rPr>
          <w:rFonts w:asciiTheme="minorHAnsi" w:eastAsia="Times New Roman" w:hAnsiTheme="minorHAnsi" w:cstheme="minorHAnsi"/>
        </w:rPr>
        <w:t>minimis</w:t>
      </w:r>
      <w:proofErr w:type="spellEnd"/>
      <w:r w:rsidR="00EC24C3" w:rsidRPr="00684190">
        <w:rPr>
          <w:rFonts w:asciiTheme="minorHAnsi" w:eastAsia="Times New Roman" w:hAnsiTheme="minorHAnsi" w:cstheme="minorHAnsi"/>
        </w:rPr>
        <w:t xml:space="preserve"> w ramach regionalnych programów na lata 2021-2027</w:t>
      </w:r>
      <w:r w:rsidR="003A5384" w:rsidRPr="00684190">
        <w:rPr>
          <w:rFonts w:asciiTheme="minorHAnsi" w:eastAsia="Times New Roman" w:hAnsiTheme="minorHAnsi" w:cstheme="minorHAnsi"/>
        </w:rPr>
        <w:t>,</w:t>
      </w:r>
    </w:p>
    <w:p w14:paraId="300A1DB2" w14:textId="017D69BB" w:rsidR="003A5384" w:rsidRPr="00684190" w:rsidRDefault="003A5384" w:rsidP="00595ADC">
      <w:pPr>
        <w:pStyle w:val="Akapitzlist"/>
        <w:numPr>
          <w:ilvl w:val="0"/>
          <w:numId w:val="46"/>
        </w:numPr>
        <w:spacing w:before="120" w:after="0"/>
        <w:ind w:left="851" w:hanging="284"/>
        <w:contextualSpacing w:val="0"/>
        <w:jc w:val="both"/>
        <w:rPr>
          <w:rFonts w:asciiTheme="minorHAnsi" w:eastAsia="Times New Roman" w:hAnsiTheme="minorHAnsi" w:cstheme="minorHAnsi"/>
        </w:rPr>
      </w:pPr>
      <w:r w:rsidRPr="00684190">
        <w:rPr>
          <w:rFonts w:asciiTheme="minorHAnsi" w:eastAsia="Times New Roman" w:hAnsiTheme="minorHAnsi" w:cstheme="minorHAnsi"/>
        </w:rPr>
        <w:t>pomocy na</w:t>
      </w:r>
      <w:r w:rsidR="002E552F" w:rsidRPr="00684190">
        <w:rPr>
          <w:rFonts w:asciiTheme="minorHAnsi" w:eastAsia="Times New Roman" w:hAnsiTheme="minorHAnsi" w:cstheme="minorHAnsi"/>
        </w:rPr>
        <w:t xml:space="preserve"> ochronę środowiska</w:t>
      </w:r>
      <w:bookmarkStart w:id="9" w:name="_Hlk164413780"/>
      <w:r w:rsidR="00A05E75" w:rsidRPr="00684190">
        <w:rPr>
          <w:rFonts w:asciiTheme="minorHAnsi" w:eastAsia="Times New Roman" w:hAnsiTheme="minorHAnsi" w:cstheme="minorHAnsi"/>
        </w:rPr>
        <w:t xml:space="preserve"> </w:t>
      </w:r>
      <w:r w:rsidR="00A3371F" w:rsidRPr="00684190">
        <w:rPr>
          <w:rFonts w:asciiTheme="minorHAnsi" w:eastAsia="Times New Roman" w:hAnsiTheme="minorHAnsi" w:cstheme="minorHAnsi"/>
        </w:rPr>
        <w:t>–</w:t>
      </w:r>
      <w:r w:rsidR="00514B54" w:rsidRPr="00684190">
        <w:rPr>
          <w:rFonts w:asciiTheme="minorHAnsi" w:eastAsia="Times New Roman" w:hAnsiTheme="minorHAnsi" w:cstheme="minorHAnsi"/>
        </w:rPr>
        <w:t xml:space="preserve"> </w:t>
      </w:r>
      <w:bookmarkStart w:id="10" w:name="_Hlk164410872"/>
      <w:r w:rsidR="00514B54" w:rsidRPr="00684190">
        <w:rPr>
          <w:rFonts w:asciiTheme="minorHAnsi" w:eastAsia="Times New Roman" w:hAnsiTheme="minorHAnsi" w:cstheme="minorHAnsi"/>
        </w:rPr>
        <w:t>zgodnie z zasadami i warunkami określonymi dla</w:t>
      </w:r>
      <w:r w:rsidR="0034608D" w:rsidRPr="00684190">
        <w:rPr>
          <w:rFonts w:asciiTheme="minorHAnsi" w:eastAsia="Times New Roman" w:hAnsiTheme="minorHAnsi" w:cstheme="minorHAnsi"/>
        </w:rPr>
        <w:t xml:space="preserve"> </w:t>
      </w:r>
      <w:bookmarkEnd w:id="9"/>
      <w:bookmarkEnd w:id="10"/>
      <w:r w:rsidR="00514B54" w:rsidRPr="00684190">
        <w:rPr>
          <w:rFonts w:asciiTheme="minorHAnsi" w:eastAsia="Times New Roman" w:hAnsiTheme="minorHAnsi" w:cstheme="minorHAnsi"/>
        </w:rPr>
        <w:t xml:space="preserve">pomocy inwestycyjnej na </w:t>
      </w:r>
      <w:r w:rsidRPr="00684190">
        <w:rPr>
          <w:rFonts w:asciiTheme="minorHAnsi" w:eastAsia="Times New Roman" w:hAnsiTheme="minorHAnsi" w:cstheme="minorHAnsi"/>
        </w:rPr>
        <w:t xml:space="preserve">środki wspierające efektywność energetyczną w budynkach w rozumieniu </w:t>
      </w:r>
      <w:r w:rsidR="00E97D5B" w:rsidRPr="00684190">
        <w:rPr>
          <w:rFonts w:asciiTheme="minorHAnsi" w:eastAsia="Times New Roman" w:hAnsiTheme="minorHAnsi" w:cstheme="minorHAnsi"/>
        </w:rPr>
        <w:t xml:space="preserve">art. 38 a </w:t>
      </w:r>
      <w:r w:rsidRPr="00684190">
        <w:rPr>
          <w:rFonts w:asciiTheme="minorHAnsi" w:eastAsia="Times New Roman" w:hAnsiTheme="minorHAnsi" w:cstheme="minorHAnsi"/>
        </w:rPr>
        <w:t>Rozporządzenia Komisji (UE) nr 651/2014 z dnia 17 czerwca 2014 r. uznającego niektóre rodzaje pomocy za zgodne z rynkiem wewnętrznym w zastosowaniu art. 107 i 108 Traktatu (dalej: Rozporządzenie 651/2014)</w:t>
      </w:r>
      <w:r w:rsidR="00514B54" w:rsidRPr="00684190">
        <w:rPr>
          <w:rFonts w:asciiTheme="minorHAnsi" w:eastAsia="Times New Roman" w:hAnsiTheme="minorHAnsi" w:cstheme="minorHAnsi"/>
        </w:rPr>
        <w:t>,</w:t>
      </w:r>
      <w:r w:rsidR="00404DAD" w:rsidRPr="00684190">
        <w:rPr>
          <w:rFonts w:asciiTheme="minorHAnsi" w:eastAsia="Times New Roman" w:hAnsiTheme="minorHAnsi" w:cstheme="minorHAnsi"/>
        </w:rPr>
        <w:t>oraz na podstawie</w:t>
      </w:r>
      <w:r w:rsidR="00BD2963" w:rsidRPr="00684190">
        <w:rPr>
          <w:rFonts w:asciiTheme="minorHAnsi" w:eastAsia="Times New Roman" w:hAnsiTheme="minorHAnsi" w:cstheme="minorHAnsi"/>
        </w:rPr>
        <w:t xml:space="preserve"> Rozporządzeni</w:t>
      </w:r>
      <w:r w:rsidR="00404DAD" w:rsidRPr="00684190">
        <w:rPr>
          <w:rFonts w:asciiTheme="minorHAnsi" w:eastAsia="Times New Roman" w:hAnsiTheme="minorHAnsi" w:cstheme="minorHAnsi"/>
        </w:rPr>
        <w:t>a</w:t>
      </w:r>
      <w:r w:rsidR="00BD2963" w:rsidRPr="00684190">
        <w:rPr>
          <w:rFonts w:asciiTheme="minorHAnsi" w:eastAsia="Times New Roman" w:hAnsiTheme="minorHAnsi" w:cstheme="minorHAnsi"/>
        </w:rPr>
        <w:t xml:space="preserve"> Ministra Funduszy i Polityki </w:t>
      </w:r>
      <w:r w:rsidR="00BD2963" w:rsidRPr="00684190">
        <w:rPr>
          <w:rFonts w:asciiTheme="minorHAnsi" w:eastAsia="Times New Roman" w:hAnsiTheme="minorHAnsi" w:cstheme="minorHAnsi"/>
        </w:rPr>
        <w:lastRenderedPageBreak/>
        <w:t>Regionalnej z dnia 11 grudnia 2022 r. w sprawie udzielania pomocy na inwestycje wspierające efektywność energetyczną w ramach regionalnych programów na lata 2021-2027</w:t>
      </w:r>
      <w:r w:rsidRPr="00684190">
        <w:rPr>
          <w:rFonts w:asciiTheme="minorHAnsi" w:eastAsia="Times New Roman" w:hAnsiTheme="minorHAnsi" w:cstheme="minorHAnsi"/>
        </w:rPr>
        <w:t xml:space="preserve">, </w:t>
      </w:r>
    </w:p>
    <w:p w14:paraId="0FDE7715" w14:textId="1E377707" w:rsidR="003A5384" w:rsidRPr="00684190" w:rsidRDefault="003A5384" w:rsidP="005B64DD">
      <w:pPr>
        <w:numPr>
          <w:ilvl w:val="0"/>
          <w:numId w:val="7"/>
        </w:numPr>
        <w:spacing w:before="120" w:after="0"/>
        <w:ind w:left="284" w:hanging="284"/>
        <w:jc w:val="both"/>
        <w:rPr>
          <w:rFonts w:asciiTheme="minorHAnsi" w:eastAsia="Times New Roman" w:hAnsiTheme="minorHAnsi" w:cstheme="minorHAnsi"/>
        </w:rPr>
      </w:pPr>
      <w:r w:rsidRPr="00684190">
        <w:rPr>
          <w:rFonts w:asciiTheme="minorHAnsi" w:eastAsia="Times New Roman" w:hAnsiTheme="minorHAnsi" w:cstheme="minorHAnsi"/>
        </w:rPr>
        <w:t xml:space="preserve">Koszty określone w Części </w:t>
      </w:r>
      <w:r w:rsidR="00B41C0A" w:rsidRPr="00684190">
        <w:rPr>
          <w:rFonts w:asciiTheme="minorHAnsi" w:eastAsia="Times New Roman" w:hAnsiTheme="minorHAnsi" w:cstheme="minorHAnsi"/>
        </w:rPr>
        <w:t>III</w:t>
      </w:r>
      <w:r w:rsidRPr="00684190">
        <w:rPr>
          <w:rFonts w:asciiTheme="minorHAnsi" w:eastAsia="Times New Roman" w:hAnsiTheme="minorHAnsi" w:cstheme="minorHAnsi"/>
        </w:rPr>
        <w:t xml:space="preserve"> </w:t>
      </w:r>
      <w:r w:rsidR="008E4236" w:rsidRPr="00684190">
        <w:rPr>
          <w:rFonts w:asciiTheme="minorHAnsi" w:eastAsia="Times New Roman" w:hAnsiTheme="minorHAnsi" w:cstheme="minorHAnsi"/>
        </w:rPr>
        <w:t xml:space="preserve">pkt 2 </w:t>
      </w:r>
      <w:r w:rsidR="00B41C0A" w:rsidRPr="00684190">
        <w:rPr>
          <w:rFonts w:asciiTheme="minorHAnsi" w:eastAsia="Times New Roman" w:hAnsiTheme="minorHAnsi" w:cstheme="minorHAnsi"/>
        </w:rPr>
        <w:t xml:space="preserve">Karty </w:t>
      </w:r>
      <w:r w:rsidRPr="00684190">
        <w:rPr>
          <w:rFonts w:asciiTheme="minorHAnsi" w:eastAsia="Times New Roman" w:hAnsiTheme="minorHAnsi" w:cstheme="minorHAnsi"/>
        </w:rPr>
        <w:t xml:space="preserve">mogą być objęte wyłącznie pomocą, o której mowa w punkcie </w:t>
      </w:r>
      <w:r w:rsidR="00BC2399" w:rsidRPr="00684190">
        <w:rPr>
          <w:rFonts w:asciiTheme="minorHAnsi" w:eastAsia="Times New Roman" w:hAnsiTheme="minorHAnsi" w:cstheme="minorHAnsi"/>
        </w:rPr>
        <w:t xml:space="preserve">6 </w:t>
      </w:r>
      <w:proofErr w:type="spellStart"/>
      <w:r w:rsidR="007C31B8" w:rsidRPr="00684190">
        <w:rPr>
          <w:rFonts w:asciiTheme="minorHAnsi" w:eastAsia="Times New Roman" w:hAnsiTheme="minorHAnsi" w:cstheme="minorHAnsi"/>
        </w:rPr>
        <w:t>ppkt</w:t>
      </w:r>
      <w:proofErr w:type="spellEnd"/>
      <w:r w:rsidR="007C31B8" w:rsidRPr="00684190">
        <w:rPr>
          <w:rFonts w:asciiTheme="minorHAnsi" w:eastAsia="Times New Roman" w:hAnsiTheme="minorHAnsi" w:cstheme="minorHAnsi"/>
        </w:rPr>
        <w:t xml:space="preserve"> 1)</w:t>
      </w:r>
      <w:r w:rsidRPr="00684190">
        <w:rPr>
          <w:rFonts w:asciiTheme="minorHAnsi" w:eastAsia="Times New Roman" w:hAnsiTheme="minorHAnsi" w:cstheme="minorHAnsi"/>
        </w:rPr>
        <w:t>.</w:t>
      </w:r>
    </w:p>
    <w:p w14:paraId="648B239D" w14:textId="3F5BDF13" w:rsidR="003A5384" w:rsidRPr="00684190" w:rsidRDefault="003A5384" w:rsidP="005B64DD">
      <w:pPr>
        <w:numPr>
          <w:ilvl w:val="0"/>
          <w:numId w:val="7"/>
        </w:numPr>
        <w:spacing w:before="120" w:after="0"/>
        <w:ind w:left="284" w:hanging="284"/>
        <w:jc w:val="both"/>
        <w:rPr>
          <w:rFonts w:asciiTheme="minorHAnsi" w:eastAsia="Times New Roman" w:hAnsiTheme="minorHAnsi" w:cstheme="minorHAnsi"/>
        </w:rPr>
      </w:pPr>
      <w:r w:rsidRPr="00684190">
        <w:rPr>
          <w:rFonts w:asciiTheme="minorHAnsi" w:eastAsia="Times New Roman" w:hAnsiTheme="minorHAnsi" w:cstheme="minorHAnsi"/>
        </w:rPr>
        <w:t xml:space="preserve">Rodzaje pomocy, o których mowa w </w:t>
      </w:r>
      <w:r w:rsidR="009D3B6D" w:rsidRPr="00684190">
        <w:rPr>
          <w:rFonts w:asciiTheme="minorHAnsi" w:eastAsia="Times New Roman" w:hAnsiTheme="minorHAnsi" w:cstheme="minorHAnsi"/>
        </w:rPr>
        <w:t>pkt</w:t>
      </w:r>
      <w:r w:rsidRPr="00684190">
        <w:rPr>
          <w:rFonts w:asciiTheme="minorHAnsi" w:eastAsia="Times New Roman" w:hAnsiTheme="minorHAnsi" w:cstheme="minorHAnsi"/>
        </w:rPr>
        <w:t xml:space="preserve"> </w:t>
      </w:r>
      <w:r w:rsidR="00F460BE" w:rsidRPr="00684190">
        <w:rPr>
          <w:rFonts w:asciiTheme="minorHAnsi" w:eastAsia="Times New Roman" w:hAnsiTheme="minorHAnsi" w:cstheme="minorHAnsi"/>
        </w:rPr>
        <w:t xml:space="preserve">6 </w:t>
      </w:r>
      <w:r w:rsidRPr="00684190">
        <w:rPr>
          <w:rFonts w:asciiTheme="minorHAnsi" w:eastAsia="Times New Roman" w:hAnsiTheme="minorHAnsi" w:cstheme="minorHAnsi"/>
        </w:rPr>
        <w:t>mogą być łączone w ramach Inwestycji Końcowej przy zachowaniu zasad kumulacji określonych w art. 8 Rozporządzenia Komisji (UE) nr 651/2014 z dnia 17 czerwca 2014 r.</w:t>
      </w:r>
    </w:p>
    <w:p w14:paraId="48E226B6" w14:textId="7A61351D" w:rsidR="003A5384" w:rsidRPr="00684190" w:rsidRDefault="003A5384" w:rsidP="005B64DD">
      <w:pPr>
        <w:numPr>
          <w:ilvl w:val="0"/>
          <w:numId w:val="7"/>
        </w:numPr>
        <w:spacing w:before="120" w:after="0"/>
        <w:ind w:left="284" w:hanging="284"/>
        <w:jc w:val="both"/>
        <w:rPr>
          <w:rFonts w:asciiTheme="minorHAnsi" w:eastAsia="Times New Roman" w:hAnsiTheme="minorHAnsi" w:cstheme="minorHAnsi"/>
        </w:rPr>
      </w:pPr>
      <w:r w:rsidRPr="00684190">
        <w:rPr>
          <w:rFonts w:asciiTheme="minorHAnsi" w:eastAsia="Times New Roman" w:hAnsiTheme="minorHAnsi" w:cstheme="minorHAnsi"/>
        </w:rPr>
        <w:t>Wartość pomocy publicznej stanowi ekwiwalent dotacji brutto, obliczany co do zasady zgodnie z Rozporządzeniem Rady Ministrów z dnia 11 sierpnia 2004 r. w sprawie szczegółowego sposobu obliczania wartości pomocy publicznej udzielanej w różnych formach</w:t>
      </w:r>
      <w:r w:rsidR="00B41C0A" w:rsidRPr="00684190">
        <w:rPr>
          <w:rFonts w:asciiTheme="minorHAnsi" w:eastAsia="Times New Roman" w:hAnsiTheme="minorHAnsi" w:cstheme="minorHAnsi"/>
        </w:rPr>
        <w:t xml:space="preserve"> (tj. Dz.U. z 2018 r., poz. 461).</w:t>
      </w:r>
      <w:r w:rsidR="00D72A8B" w:rsidRPr="00684190">
        <w:rPr>
          <w:rFonts w:asciiTheme="minorHAnsi" w:eastAsia="Times New Roman" w:hAnsiTheme="minorHAnsi" w:cstheme="minorHAnsi"/>
        </w:rPr>
        <w:t xml:space="preserve"> </w:t>
      </w:r>
    </w:p>
    <w:p w14:paraId="26F3E471" w14:textId="57D1F4B5" w:rsidR="003A5384" w:rsidRPr="00684190" w:rsidRDefault="003A5384" w:rsidP="005B64DD">
      <w:pPr>
        <w:numPr>
          <w:ilvl w:val="0"/>
          <w:numId w:val="7"/>
        </w:numPr>
        <w:spacing w:before="120" w:after="0"/>
        <w:ind w:left="284" w:hanging="284"/>
        <w:jc w:val="both"/>
        <w:rPr>
          <w:rFonts w:asciiTheme="minorHAnsi" w:eastAsia="Times New Roman" w:hAnsiTheme="minorHAnsi" w:cstheme="minorHAnsi"/>
        </w:rPr>
      </w:pPr>
      <w:r w:rsidRPr="00684190">
        <w:rPr>
          <w:rFonts w:asciiTheme="minorHAnsi" w:eastAsia="Times New Roman" w:hAnsiTheme="minorHAnsi" w:cstheme="minorHAnsi"/>
        </w:rPr>
        <w:t>Dniem udzielenia pomocy jest dzień zawarcia umowy Jednostkowej Pożyczki (Umowy Inwestycyjnej).</w:t>
      </w:r>
      <w:r w:rsidR="00D36DCE" w:rsidRPr="00684190">
        <w:rPr>
          <w:rFonts w:asciiTheme="minorHAnsi" w:eastAsia="Times New Roman" w:hAnsiTheme="minorHAnsi" w:cstheme="minorHAnsi"/>
        </w:rPr>
        <w:t xml:space="preserve"> </w:t>
      </w:r>
    </w:p>
    <w:p w14:paraId="24EB7FC9" w14:textId="10E23D8D" w:rsidR="003A5384" w:rsidRPr="00684190" w:rsidRDefault="003A5384" w:rsidP="005B64DD">
      <w:pPr>
        <w:numPr>
          <w:ilvl w:val="0"/>
          <w:numId w:val="7"/>
        </w:numPr>
        <w:spacing w:before="120" w:after="0"/>
        <w:ind w:left="284" w:hanging="284"/>
        <w:jc w:val="both"/>
        <w:rPr>
          <w:rFonts w:asciiTheme="minorHAnsi" w:eastAsia="Times New Roman" w:hAnsiTheme="minorHAnsi" w:cstheme="minorHAnsi"/>
        </w:rPr>
      </w:pPr>
      <w:r w:rsidRPr="00684190">
        <w:rPr>
          <w:rFonts w:asciiTheme="minorHAnsi" w:eastAsia="Times New Roman" w:hAnsiTheme="minorHAnsi" w:cstheme="minorHAnsi"/>
        </w:rPr>
        <w:t xml:space="preserve">W przypadku niespełnienia przez Ostatecznego Odbiorcę jakiegokolwiek z warunków udzielenia pomocy publicznej / pomocy de </w:t>
      </w:r>
      <w:proofErr w:type="spellStart"/>
      <w:r w:rsidRPr="00684190">
        <w:rPr>
          <w:rFonts w:asciiTheme="minorHAnsi" w:eastAsia="Times New Roman" w:hAnsiTheme="minorHAnsi" w:cstheme="minorHAnsi"/>
        </w:rPr>
        <w:t>minimis</w:t>
      </w:r>
      <w:proofErr w:type="spellEnd"/>
      <w:r w:rsidRPr="00684190">
        <w:rPr>
          <w:rFonts w:asciiTheme="minorHAnsi" w:eastAsia="Times New Roman" w:hAnsiTheme="minorHAnsi" w:cstheme="minorHAnsi"/>
        </w:rPr>
        <w:t xml:space="preserve">, Jednostkowa Pożyczka udzielana jest na warunkach rynkowych. </w:t>
      </w:r>
    </w:p>
    <w:p w14:paraId="0F240B0A" w14:textId="33B18779" w:rsidR="00A32192" w:rsidRPr="00684190" w:rsidRDefault="003A5384" w:rsidP="005B64DD">
      <w:pPr>
        <w:numPr>
          <w:ilvl w:val="0"/>
          <w:numId w:val="7"/>
        </w:numPr>
        <w:spacing w:before="120" w:after="0"/>
        <w:ind w:left="284" w:hanging="284"/>
        <w:jc w:val="both"/>
        <w:rPr>
          <w:rFonts w:asciiTheme="minorHAnsi" w:hAnsiTheme="minorHAnsi" w:cstheme="minorHAnsi"/>
        </w:rPr>
      </w:pPr>
      <w:r w:rsidRPr="00684190">
        <w:rPr>
          <w:rFonts w:asciiTheme="minorHAnsi" w:eastAsia="Times New Roman" w:hAnsiTheme="minorHAnsi" w:cstheme="minorHAnsi"/>
        </w:rPr>
        <w:t xml:space="preserve">Bez uszczerbku dla wytycznych i zasad opisanych w </w:t>
      </w:r>
      <w:r w:rsidR="001774BC" w:rsidRPr="00684190">
        <w:rPr>
          <w:rFonts w:asciiTheme="minorHAnsi" w:eastAsia="Times New Roman" w:hAnsiTheme="minorHAnsi" w:cstheme="minorHAnsi"/>
        </w:rPr>
        <w:t>Karcie</w:t>
      </w:r>
      <w:r w:rsidRPr="00684190">
        <w:rPr>
          <w:rFonts w:asciiTheme="minorHAnsi" w:eastAsia="Times New Roman" w:hAnsiTheme="minorHAnsi" w:cstheme="minorHAnsi"/>
        </w:rPr>
        <w:t xml:space="preserve">, </w:t>
      </w:r>
      <w:r w:rsidR="00467612" w:rsidRPr="00684190">
        <w:rPr>
          <w:rFonts w:asciiTheme="minorHAnsi" w:eastAsia="Times New Roman" w:hAnsiTheme="minorHAnsi" w:cstheme="minorHAnsi"/>
        </w:rPr>
        <w:t>Wniosek</w:t>
      </w:r>
      <w:r w:rsidRPr="00684190">
        <w:rPr>
          <w:rFonts w:asciiTheme="minorHAnsi" w:eastAsia="Times New Roman" w:hAnsiTheme="minorHAnsi" w:cstheme="minorHAnsi"/>
        </w:rPr>
        <w:t xml:space="preserve"> (bez względu na rodzaj pomocy) musi zawierać wymagane informacje określone we właściwym akcie normatywnym, na podstawie którego udzielana będzie pomoc.</w:t>
      </w:r>
      <w:bookmarkEnd w:id="8"/>
      <w:r w:rsidR="00FE51E2" w:rsidRPr="00684190">
        <w:rPr>
          <w:rFonts w:asciiTheme="minorHAnsi" w:hAnsiTheme="minorHAnsi" w:cstheme="minorHAnsi"/>
        </w:rPr>
        <w:t xml:space="preserve"> </w:t>
      </w:r>
    </w:p>
    <w:sectPr w:rsidR="00A32192" w:rsidRPr="00684190" w:rsidSect="00D114D6">
      <w:headerReference w:type="default" r:id="rId10"/>
      <w:footerReference w:type="default" r:id="rId11"/>
      <w:headerReference w:type="first" r:id="rId12"/>
      <w:footerReference w:type="first" r:id="rId13"/>
      <w:pgSz w:w="11906" w:h="16838"/>
      <w:pgMar w:top="720" w:right="1133" w:bottom="720" w:left="1276"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6168" w14:textId="77777777" w:rsidR="00860C6E" w:rsidRDefault="00860C6E" w:rsidP="00BA3860">
      <w:pPr>
        <w:spacing w:after="0" w:line="240" w:lineRule="auto"/>
      </w:pPr>
      <w:r>
        <w:separator/>
      </w:r>
    </w:p>
  </w:endnote>
  <w:endnote w:type="continuationSeparator" w:id="0">
    <w:p w14:paraId="4279E542" w14:textId="77777777" w:rsidR="00860C6E" w:rsidRDefault="00860C6E" w:rsidP="00BA3860">
      <w:pPr>
        <w:spacing w:after="0" w:line="240" w:lineRule="auto"/>
      </w:pPr>
      <w:r>
        <w:continuationSeparator/>
      </w:r>
    </w:p>
  </w:endnote>
  <w:endnote w:type="continuationNotice" w:id="1">
    <w:p w14:paraId="5BCA0A8A" w14:textId="77777777" w:rsidR="00860C6E" w:rsidRDefault="00860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4A18" w14:textId="53E360EB" w:rsidR="00D27C24" w:rsidRDefault="00D27C24" w:rsidP="009F3A98">
    <w:pPr>
      <w:pStyle w:val="Stopka"/>
      <w:tabs>
        <w:tab w:val="clear" w:pos="4536"/>
        <w:tab w:val="clear" w:pos="9072"/>
        <w:tab w:val="left" w:pos="7230"/>
      </w:tabs>
      <w:jc w:val="right"/>
    </w:pPr>
    <w:r w:rsidRPr="00DD0EEE">
      <w:rPr>
        <w:sz w:val="24"/>
      </w:rPr>
      <w:t xml:space="preserve">Strona </w:t>
    </w:r>
    <w:r w:rsidRPr="00DD0EEE">
      <w:rPr>
        <w:b/>
        <w:bCs/>
        <w:sz w:val="24"/>
        <w:szCs w:val="24"/>
        <w:lang w:val="en-GB"/>
      </w:rPr>
      <w:fldChar w:fldCharType="begin"/>
    </w:r>
    <w:r w:rsidRPr="00DD0EEE">
      <w:rPr>
        <w:b/>
        <w:bCs/>
        <w:sz w:val="24"/>
        <w:lang w:val="en-GB"/>
      </w:rPr>
      <w:instrText>PAGE</w:instrText>
    </w:r>
    <w:r w:rsidRPr="00DD0EEE">
      <w:rPr>
        <w:b/>
        <w:bCs/>
        <w:sz w:val="24"/>
        <w:szCs w:val="24"/>
        <w:lang w:val="en-GB"/>
      </w:rPr>
      <w:fldChar w:fldCharType="separate"/>
    </w:r>
    <w:r w:rsidR="0011109C">
      <w:rPr>
        <w:b/>
        <w:bCs/>
        <w:noProof/>
        <w:sz w:val="24"/>
        <w:lang w:val="en-GB"/>
      </w:rPr>
      <w:t>11</w:t>
    </w:r>
    <w:r w:rsidRPr="00DD0EEE">
      <w:rPr>
        <w:b/>
        <w:bCs/>
        <w:sz w:val="24"/>
        <w:szCs w:val="24"/>
        <w:lang w:val="en-GB"/>
      </w:rPr>
      <w:fldChar w:fldCharType="end"/>
    </w:r>
    <w:r w:rsidRPr="00DD0EEE">
      <w:rPr>
        <w:sz w:val="24"/>
      </w:rPr>
      <w:t xml:space="preserve"> z </w:t>
    </w:r>
    <w:r w:rsidRPr="00DD0EEE">
      <w:rPr>
        <w:b/>
        <w:bCs/>
        <w:sz w:val="24"/>
        <w:szCs w:val="24"/>
        <w:lang w:val="en-GB"/>
      </w:rPr>
      <w:fldChar w:fldCharType="begin"/>
    </w:r>
    <w:r w:rsidRPr="00DD0EEE">
      <w:rPr>
        <w:b/>
        <w:bCs/>
        <w:sz w:val="24"/>
        <w:lang w:val="en-GB"/>
      </w:rPr>
      <w:instrText>NUMPAGES</w:instrText>
    </w:r>
    <w:r w:rsidRPr="00DD0EEE">
      <w:rPr>
        <w:b/>
        <w:bCs/>
        <w:sz w:val="24"/>
        <w:szCs w:val="24"/>
        <w:lang w:val="en-GB"/>
      </w:rPr>
      <w:fldChar w:fldCharType="separate"/>
    </w:r>
    <w:r w:rsidR="0011109C">
      <w:rPr>
        <w:b/>
        <w:bCs/>
        <w:noProof/>
        <w:sz w:val="24"/>
        <w:lang w:val="en-GB"/>
      </w:rPr>
      <w:t>11</w:t>
    </w:r>
    <w:r w:rsidRPr="00DD0EEE">
      <w:rPr>
        <w:b/>
        <w:bCs/>
        <w:sz w:val="24"/>
        <w:szCs w:val="24"/>
        <w:lang w:val="en-GB"/>
      </w:rPr>
      <w:fldChar w:fldCharType="end"/>
    </w:r>
  </w:p>
  <w:p w14:paraId="4DDBEF00" w14:textId="77777777" w:rsidR="00D27C24" w:rsidRDefault="00D27C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20388220" w:rsidR="00D27C24" w:rsidRDefault="00D27C24" w:rsidP="009F3A98">
    <w:pPr>
      <w:pStyle w:val="Stopka"/>
      <w:tabs>
        <w:tab w:val="clear" w:pos="4536"/>
        <w:tab w:val="clear" w:pos="9072"/>
        <w:tab w:val="left" w:pos="7230"/>
      </w:tabs>
      <w:rPr>
        <w:noProof/>
        <w:sz w:val="20"/>
        <w:szCs w:val="20"/>
        <w:lang w:eastAsia="pl-PL"/>
      </w:rPr>
    </w:pPr>
  </w:p>
  <w:p w14:paraId="7AD42C70" w14:textId="163323D8" w:rsidR="00D27C24" w:rsidRDefault="00EE34F1" w:rsidP="009F3A98">
    <w:pPr>
      <w:pStyle w:val="Stopka"/>
      <w:tabs>
        <w:tab w:val="clear" w:pos="4536"/>
        <w:tab w:val="clear" w:pos="9072"/>
        <w:tab w:val="left" w:pos="7230"/>
      </w:tabs>
      <w:jc w:val="right"/>
    </w:pPr>
    <w:r>
      <w:rPr>
        <w:noProof/>
        <w:lang w:eastAsia="pl-PL"/>
      </w:rPr>
      <w:drawing>
        <wp:inline distT="0" distB="0" distL="0" distR="0" wp14:anchorId="1B8D62D0" wp14:editId="1A147D16">
          <wp:extent cx="5760720" cy="4451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45135"/>
                  </a:xfrm>
                  <a:prstGeom prst="rect">
                    <a:avLst/>
                  </a:prstGeom>
                  <a:noFill/>
                  <a:ln>
                    <a:noFill/>
                  </a:ln>
                </pic:spPr>
              </pic:pic>
            </a:graphicData>
          </a:graphic>
        </wp:inline>
      </w:drawing>
    </w:r>
    <w:r w:rsidR="00D27C24" w:rsidRPr="00DD0EEE">
      <w:rPr>
        <w:sz w:val="24"/>
      </w:rPr>
      <w:t xml:space="preserve">Strona </w:t>
    </w:r>
    <w:r w:rsidR="00D27C24" w:rsidRPr="00DD0EEE">
      <w:rPr>
        <w:b/>
        <w:bCs/>
        <w:sz w:val="24"/>
        <w:szCs w:val="24"/>
        <w:lang w:val="en-GB"/>
      </w:rPr>
      <w:fldChar w:fldCharType="begin"/>
    </w:r>
    <w:r w:rsidR="00D27C24" w:rsidRPr="00DD0EEE">
      <w:rPr>
        <w:b/>
        <w:bCs/>
        <w:sz w:val="24"/>
        <w:lang w:val="en-GB"/>
      </w:rPr>
      <w:instrText>PAGE</w:instrText>
    </w:r>
    <w:r w:rsidR="00D27C24" w:rsidRPr="00DD0EEE">
      <w:rPr>
        <w:b/>
        <w:bCs/>
        <w:sz w:val="24"/>
        <w:szCs w:val="24"/>
        <w:lang w:val="en-GB"/>
      </w:rPr>
      <w:fldChar w:fldCharType="separate"/>
    </w:r>
    <w:r w:rsidR="0011109C">
      <w:rPr>
        <w:b/>
        <w:bCs/>
        <w:noProof/>
        <w:sz w:val="24"/>
        <w:lang w:val="en-GB"/>
      </w:rPr>
      <w:t>1</w:t>
    </w:r>
    <w:r w:rsidR="00D27C24" w:rsidRPr="00DD0EEE">
      <w:rPr>
        <w:b/>
        <w:bCs/>
        <w:sz w:val="24"/>
        <w:szCs w:val="24"/>
        <w:lang w:val="en-GB"/>
      </w:rPr>
      <w:fldChar w:fldCharType="end"/>
    </w:r>
    <w:r w:rsidR="00D27C24" w:rsidRPr="00DD0EEE">
      <w:rPr>
        <w:sz w:val="24"/>
      </w:rPr>
      <w:t xml:space="preserve"> z </w:t>
    </w:r>
    <w:r w:rsidR="00D27C24" w:rsidRPr="00DD0EEE">
      <w:rPr>
        <w:b/>
        <w:bCs/>
        <w:sz w:val="24"/>
        <w:szCs w:val="24"/>
        <w:lang w:val="en-GB"/>
      </w:rPr>
      <w:fldChar w:fldCharType="begin"/>
    </w:r>
    <w:r w:rsidR="00D27C24" w:rsidRPr="00DD0EEE">
      <w:rPr>
        <w:b/>
        <w:bCs/>
        <w:sz w:val="24"/>
        <w:lang w:val="en-GB"/>
      </w:rPr>
      <w:instrText>NUMPAGES</w:instrText>
    </w:r>
    <w:r w:rsidR="00D27C24" w:rsidRPr="00DD0EEE">
      <w:rPr>
        <w:b/>
        <w:bCs/>
        <w:sz w:val="24"/>
        <w:szCs w:val="24"/>
        <w:lang w:val="en-GB"/>
      </w:rPr>
      <w:fldChar w:fldCharType="separate"/>
    </w:r>
    <w:r w:rsidR="0011109C">
      <w:rPr>
        <w:b/>
        <w:bCs/>
        <w:noProof/>
        <w:sz w:val="24"/>
        <w:lang w:val="en-GB"/>
      </w:rPr>
      <w:t>11</w:t>
    </w:r>
    <w:r w:rsidR="00D27C24" w:rsidRPr="00DD0EEE">
      <w:rPr>
        <w:b/>
        <w:bCs/>
        <w:sz w:val="24"/>
        <w:szCs w:val="24"/>
        <w:lang w:val="en-GB"/>
      </w:rPr>
      <w:fldChar w:fldCharType="end"/>
    </w:r>
  </w:p>
  <w:p w14:paraId="4B99056E" w14:textId="77777777" w:rsidR="00D27C24" w:rsidRDefault="00D27C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23F2B" w14:textId="77777777" w:rsidR="00860C6E" w:rsidRDefault="00860C6E" w:rsidP="00BA3860">
      <w:pPr>
        <w:spacing w:after="0" w:line="240" w:lineRule="auto"/>
      </w:pPr>
      <w:r>
        <w:separator/>
      </w:r>
    </w:p>
  </w:footnote>
  <w:footnote w:type="continuationSeparator" w:id="0">
    <w:p w14:paraId="1F95410F" w14:textId="77777777" w:rsidR="00860C6E" w:rsidRDefault="00860C6E" w:rsidP="00BA3860">
      <w:pPr>
        <w:spacing w:after="0" w:line="240" w:lineRule="auto"/>
      </w:pPr>
      <w:r>
        <w:continuationSeparator/>
      </w:r>
    </w:p>
  </w:footnote>
  <w:footnote w:type="continuationNotice" w:id="1">
    <w:p w14:paraId="239D69EF" w14:textId="77777777" w:rsidR="00860C6E" w:rsidRDefault="00860C6E">
      <w:pPr>
        <w:spacing w:after="0" w:line="240" w:lineRule="auto"/>
      </w:pPr>
    </w:p>
  </w:footnote>
  <w:footnote w:id="2">
    <w:p w14:paraId="248D011A" w14:textId="77777777" w:rsidR="002A677D" w:rsidRDefault="002A677D" w:rsidP="002A677D">
      <w:pPr>
        <w:pStyle w:val="Tekstprzypisudolnego"/>
      </w:pPr>
      <w:r>
        <w:rPr>
          <w:rStyle w:val="Odwoanieprzypisudolnego"/>
        </w:rPr>
        <w:footnoteRef/>
      </w:r>
      <w:r>
        <w:t xml:space="preserve"> </w:t>
      </w:r>
      <w:r>
        <w:rPr>
          <w:rStyle w:val="ui-provider"/>
        </w:rPr>
        <w:t>Budynek objęty formą ochrony określoną w art. 7 Ustawy z dnia 23 lipca 2003 r. o ochronie zabytków i opiece nad zabytkami lub wpisany do wojewódzkiej ewidencji zabytków lub gminnej ewidencji zabytków.</w:t>
      </w:r>
    </w:p>
  </w:footnote>
  <w:footnote w:id="3">
    <w:p w14:paraId="3D6545E1" w14:textId="20ACA2C6" w:rsidR="007E3887" w:rsidRDefault="007E3887" w:rsidP="007E3887">
      <w:pPr>
        <w:pStyle w:val="Tekstprzypisudolnego"/>
      </w:pPr>
      <w:r>
        <w:rPr>
          <w:rStyle w:val="Odwoanieprzypisudolnego"/>
        </w:rPr>
        <w:footnoteRef/>
      </w:r>
      <w:r>
        <w:t xml:space="preserve"> W przypadku Inwestycji Końcowej / Ostatecznego Odbiorcy objętej / objętego regułami pomocy publicznej, podłączenie do sieci ciepłowniczej może być finansowane wyłącznie w ramach pomocy określonej w Części X pkt 6 ppkt 1)</w:t>
      </w:r>
    </w:p>
  </w:footnote>
  <w:footnote w:id="4">
    <w:p w14:paraId="7136A98B" w14:textId="77777777" w:rsidR="007E3887" w:rsidRDefault="007E3887" w:rsidP="007E3887">
      <w:pPr>
        <w:pStyle w:val="Tekstprzypisudolnego"/>
      </w:pPr>
      <w:r>
        <w:rPr>
          <w:rStyle w:val="Odwoanieprzypisudolnego"/>
        </w:rPr>
        <w:footnoteRef/>
      </w:r>
      <w:r>
        <w:t xml:space="preserve"> Nie dopuszcza się finansowania Jednostkową Pożyczką źródeł na biomasę, jeśli umożliwiają instalację rusztu awaryjnego oraz nie posiadają automatycznego podajnika paliwa.</w:t>
      </w:r>
    </w:p>
  </w:footnote>
  <w:footnote w:id="5">
    <w:p w14:paraId="59132D69" w14:textId="3B27CB88" w:rsidR="007E3887" w:rsidRDefault="007E3887" w:rsidP="007E3887">
      <w:pPr>
        <w:pStyle w:val="Tekstprzypisudolnego"/>
      </w:pPr>
      <w:r>
        <w:rPr>
          <w:rStyle w:val="Odwoanieprzypisudolnego"/>
        </w:rPr>
        <w:footnoteRef/>
      </w:r>
      <w:r>
        <w:t xml:space="preserve"> W przypadku Inwestycji Końcowej / Ostatecznego Odbiorcy objętej / objętego regułami pomocy publicznej, urządzenie może być finansowane wyłącznie w ramach pomocy określonej w Części X pkt 6 ppkt 1)</w:t>
      </w:r>
    </w:p>
  </w:footnote>
  <w:footnote w:id="6">
    <w:p w14:paraId="78FB3E58" w14:textId="77777777" w:rsidR="007E3887" w:rsidRDefault="007E3887" w:rsidP="007E3887">
      <w:pPr>
        <w:pStyle w:val="Tekstprzypisudolnego"/>
      </w:pPr>
      <w:r>
        <w:rPr>
          <w:rStyle w:val="Odwoanieprzypisudolnego"/>
        </w:rPr>
        <w:footnoteRef/>
      </w:r>
      <w:r>
        <w:t xml:space="preserve"> Zob.: Zawiadomienie Komisji (C/2024/6206) w sprawie stopniowego wycofywania zachęt finansowych dla indywidualnych kotłów zasilanych paliwami kopalnymi na podstawie wersji przekształconej dyrektywy w sprawie charakterystyki energetycznej budynków, str. 5.</w:t>
      </w:r>
    </w:p>
  </w:footnote>
  <w:footnote w:id="7">
    <w:p w14:paraId="290B476C" w14:textId="4E38DDDE" w:rsidR="00D27C24" w:rsidRPr="008828A6" w:rsidRDefault="00D27C24" w:rsidP="006E708E">
      <w:pPr>
        <w:pStyle w:val="Tekstprzypisudolnego"/>
        <w:jc w:val="both"/>
        <w:rPr>
          <w:sz w:val="18"/>
          <w:szCs w:val="18"/>
        </w:rPr>
      </w:pPr>
      <w:r w:rsidRPr="008828A6">
        <w:rPr>
          <w:rStyle w:val="Odwoanieprzypisudolnego"/>
          <w:sz w:val="18"/>
          <w:szCs w:val="18"/>
        </w:rPr>
        <w:footnoteRef/>
      </w:r>
      <w:r w:rsidRPr="008828A6">
        <w:rPr>
          <w:sz w:val="18"/>
          <w:szCs w:val="18"/>
        </w:rPr>
        <w:t xml:space="preserve"> W przypadku przyjęcia zabezpieczenia w formie hipoteki na nieruchomości zabudowanej,</w:t>
      </w:r>
      <w:r w:rsidR="00D36DCE">
        <w:rPr>
          <w:sz w:val="18"/>
          <w:szCs w:val="18"/>
        </w:rPr>
        <w:t xml:space="preserve"> </w:t>
      </w:r>
      <w:r w:rsidRPr="008828A6">
        <w:rPr>
          <w:sz w:val="18"/>
          <w:szCs w:val="18"/>
        </w:rPr>
        <w:t>zastawu rejestrowego lub przewłaszczenia środków trwałych rekomendowane jest przyjęcie dodatkowego zabezpieczenia w postaci cesji praw z polisy ubezpieczenia rzeczy stanowiącej przedmiot zabezpieczenia, o ile przelew praw z polisy jest możliwy i uzasadniony np. wynikiem oceny Wniosku. Przedmiot zabezpieczenia powinien być, co do zasady, objęty umową ubezpieczenia w całym okresie spłaty pożyczki. W przypadku zabezpieczenia w formie hipoteki wymagana jest analiza/ ocena wartości przedmiotu mającego stanowić zabezpieczenie/dodatkowe zabezpieczenie.</w:t>
      </w:r>
    </w:p>
  </w:footnote>
  <w:footnote w:id="8">
    <w:p w14:paraId="067D88AD" w14:textId="7FABC71A" w:rsidR="0093615A" w:rsidRDefault="0093615A">
      <w:pPr>
        <w:pStyle w:val="Tekstprzypisudolnego"/>
      </w:pPr>
      <w:r>
        <w:rPr>
          <w:rStyle w:val="Odwoanieprzypisudolnego"/>
        </w:rPr>
        <w:footnoteRef/>
      </w:r>
      <w:r>
        <w:t xml:space="preserve"> </w:t>
      </w:r>
      <w:r w:rsidRPr="0093615A">
        <w:t>Audyt ex post wykonywany jest w sposób analogiczny jak audyt ex ante, lecz z pominięciem wariantowości wykonania poszczególnych usprawnień. Audyt ex post dotyczy, wyłącznie ostatecznie przyjętego w audycie ex ante, wariantu realizacyjnego inwestycji modernizacyjnej. W audycie ex post przyjmuje się jako parametry charakteryzujące obiekt, urządzenie technologiczne lub instalację, rzeczywiste dane obiektu, urządzenia, instalacji (na przykład z kart katalogowych, dokumentacji techniczno-ruchowej, dokumentacji powykonawczej itp.). W podsumowaniu audytu ex post konieczne jest porównanie uzyskanych wskaźników, wyznaczonych dla wykonanej inwestycji ze wskaźnikami wyznaczonymi i zapisanymi w audycie ex ante.</w:t>
      </w:r>
    </w:p>
  </w:footnote>
  <w:footnote w:id="9">
    <w:p w14:paraId="5F0357C5" w14:textId="64AC03E1" w:rsidR="00094BDB" w:rsidRDefault="00094BDB">
      <w:pPr>
        <w:pStyle w:val="Tekstprzypisudolnego"/>
      </w:pPr>
      <w:r>
        <w:rPr>
          <w:rStyle w:val="Odwoanieprzypisudolnego"/>
        </w:rPr>
        <w:footnoteRef/>
      </w:r>
      <w:r>
        <w:t xml:space="preserve"> </w:t>
      </w:r>
      <w:r w:rsidRPr="00094BDB">
        <w:t>Dotyczy również raty przypadającej na ten dzień</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D27C24" w:rsidRPr="00242425" w:rsidRDefault="00D27C24" w:rsidP="0076705C">
    <w:pPr>
      <w:pStyle w:val="Nagwek"/>
      <w:tabs>
        <w:tab w:val="clear" w:pos="9072"/>
        <w:tab w:val="left" w:pos="5559"/>
      </w:tabs>
      <w:spacing w:before="144" w:after="144"/>
      <w:rPr>
        <w:sz w:val="16"/>
        <w:szCs w:val="16"/>
      </w:rPr>
    </w:pPr>
    <w:r w:rsidRPr="00CD29AD">
      <w:rPr>
        <w:rFonts w:ascii="Arial" w:hAnsi="Arial" w:cs="Arial"/>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D27C24" w:rsidRPr="00242425" w:rsidRDefault="00D27C24" w:rsidP="009F3A98">
    <w:pPr>
      <w:pStyle w:val="Nagwek"/>
      <w:tabs>
        <w:tab w:val="clear" w:pos="9072"/>
        <w:tab w:val="left" w:pos="5559"/>
      </w:tabs>
      <w:spacing w:before="144" w:after="144"/>
      <w:rPr>
        <w:sz w:val="16"/>
        <w:szCs w:val="16"/>
      </w:rPr>
    </w:pPr>
    <w:r w:rsidRPr="00CD29AD">
      <w:rPr>
        <w:rFonts w:ascii="Arial" w:hAnsi="Arial" w:cs="Arial"/>
        <w:noProof/>
      </w:rPr>
      <w:tab/>
    </w:r>
    <w:r>
      <w:rPr>
        <w:rFonts w:ascii="Arial" w:hAnsi="Arial" w:cs="Arial"/>
        <w:noProof/>
      </w:rPr>
      <w:tab/>
    </w:r>
    <w:r>
      <w:rPr>
        <w:rFonts w:ascii="Arial" w:hAnsi="Arial" w:cs="Arial"/>
        <w:noProof/>
      </w:rPr>
      <w:tab/>
    </w:r>
    <w:r w:rsidRPr="00CD29AD">
      <w:rPr>
        <w:rFonts w:ascii="Arial" w:hAnsi="Arial" w:cs="Arial"/>
        <w:noProof/>
      </w:rPr>
      <w:tab/>
    </w:r>
    <w:r w:rsidRPr="000A5B2F">
      <w:rPr>
        <w:noProof/>
        <w:lang w:eastAsia="pl-PL"/>
      </w:rPr>
      <w:drawing>
        <wp:inline distT="0" distB="0" distL="0" distR="0" wp14:anchorId="7BC28B77" wp14:editId="07777777">
          <wp:extent cx="1704975" cy="381000"/>
          <wp:effectExtent l="0" t="0" r="0" b="0"/>
          <wp:docPr id="17" name="Obraz 17" descr="P:\2014_2020\Promo_Info\0_Wlasne\Logotypy i szablony pism_prezentacje\BGK\BG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2014_2020\Promo_Info\0_Wlasne\Logotypy i szablony pism_prezentacje\BGK\BGK-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A2C"/>
    <w:multiLevelType w:val="hybridMultilevel"/>
    <w:tmpl w:val="7648171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6EE0D31"/>
    <w:multiLevelType w:val="hybridMultilevel"/>
    <w:tmpl w:val="9FB6AC8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 w15:restartNumberingAfterBreak="0">
    <w:nsid w:val="071B418F"/>
    <w:multiLevelType w:val="hybridMultilevel"/>
    <w:tmpl w:val="7C2E86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47D02"/>
    <w:multiLevelType w:val="hybridMultilevel"/>
    <w:tmpl w:val="FFB680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D53D5"/>
    <w:multiLevelType w:val="hybridMultilevel"/>
    <w:tmpl w:val="991E917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0B1CF4"/>
    <w:multiLevelType w:val="hybridMultilevel"/>
    <w:tmpl w:val="991E917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A410A6A"/>
    <w:multiLevelType w:val="hybridMultilevel"/>
    <w:tmpl w:val="60760064"/>
    <w:lvl w:ilvl="0" w:tplc="FD9E5FBC">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B270E"/>
    <w:multiLevelType w:val="hybridMultilevel"/>
    <w:tmpl w:val="33BE56D8"/>
    <w:lvl w:ilvl="0" w:tplc="8AB84622">
      <w:start w:val="1"/>
      <w:numFmt w:val="decimal"/>
      <w:lvlText w:val="%1)"/>
      <w:lvlJc w:val="left"/>
      <w:pPr>
        <w:tabs>
          <w:tab w:val="num" w:pos="928"/>
        </w:tabs>
        <w:ind w:left="9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BC46B6"/>
    <w:multiLevelType w:val="hybridMultilevel"/>
    <w:tmpl w:val="45566E0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F67871"/>
    <w:multiLevelType w:val="hybridMultilevel"/>
    <w:tmpl w:val="C66218AA"/>
    <w:lvl w:ilvl="0" w:tplc="09F8ACDE">
      <w:start w:val="1"/>
      <w:numFmt w:val="decimal"/>
      <w:lvlText w:val="%1."/>
      <w:lvlJc w:val="left"/>
      <w:pPr>
        <w:tabs>
          <w:tab w:val="num" w:pos="785"/>
        </w:tabs>
        <w:ind w:left="785" w:hanging="360"/>
      </w:pPr>
      <w:rPr>
        <w:rFonts w:hint="default"/>
        <w:color w:val="auto"/>
      </w:rPr>
    </w:lvl>
    <w:lvl w:ilvl="1" w:tplc="04150017">
      <w:start w:val="1"/>
      <w:numFmt w:val="lowerLetter"/>
      <w:lvlText w:val="%2)"/>
      <w:lvlJc w:val="left"/>
      <w:pPr>
        <w:tabs>
          <w:tab w:val="num" w:pos="1865"/>
        </w:tabs>
        <w:ind w:left="1865" w:hanging="360"/>
      </w:pPr>
    </w:lvl>
    <w:lvl w:ilvl="2" w:tplc="0415001B" w:tentative="1">
      <w:start w:val="1"/>
      <w:numFmt w:val="lowerRoman"/>
      <w:lvlText w:val="%3."/>
      <w:lvlJc w:val="right"/>
      <w:pPr>
        <w:tabs>
          <w:tab w:val="num" w:pos="2585"/>
        </w:tabs>
        <w:ind w:left="2585" w:hanging="180"/>
      </w:pPr>
    </w:lvl>
    <w:lvl w:ilvl="3" w:tplc="0415000F" w:tentative="1">
      <w:start w:val="1"/>
      <w:numFmt w:val="decimal"/>
      <w:lvlText w:val="%4."/>
      <w:lvlJc w:val="left"/>
      <w:pPr>
        <w:tabs>
          <w:tab w:val="num" w:pos="3305"/>
        </w:tabs>
        <w:ind w:left="3305" w:hanging="360"/>
      </w:pPr>
    </w:lvl>
    <w:lvl w:ilvl="4" w:tplc="04150019" w:tentative="1">
      <w:start w:val="1"/>
      <w:numFmt w:val="lowerLetter"/>
      <w:lvlText w:val="%5."/>
      <w:lvlJc w:val="left"/>
      <w:pPr>
        <w:tabs>
          <w:tab w:val="num" w:pos="4025"/>
        </w:tabs>
        <w:ind w:left="4025" w:hanging="360"/>
      </w:pPr>
    </w:lvl>
    <w:lvl w:ilvl="5" w:tplc="0415001B" w:tentative="1">
      <w:start w:val="1"/>
      <w:numFmt w:val="lowerRoman"/>
      <w:lvlText w:val="%6."/>
      <w:lvlJc w:val="right"/>
      <w:pPr>
        <w:tabs>
          <w:tab w:val="num" w:pos="4745"/>
        </w:tabs>
        <w:ind w:left="4745" w:hanging="180"/>
      </w:pPr>
    </w:lvl>
    <w:lvl w:ilvl="6" w:tplc="0415000F" w:tentative="1">
      <w:start w:val="1"/>
      <w:numFmt w:val="decimal"/>
      <w:lvlText w:val="%7."/>
      <w:lvlJc w:val="left"/>
      <w:pPr>
        <w:tabs>
          <w:tab w:val="num" w:pos="5465"/>
        </w:tabs>
        <w:ind w:left="5465" w:hanging="360"/>
      </w:pPr>
    </w:lvl>
    <w:lvl w:ilvl="7" w:tplc="04150019" w:tentative="1">
      <w:start w:val="1"/>
      <w:numFmt w:val="lowerLetter"/>
      <w:lvlText w:val="%8."/>
      <w:lvlJc w:val="left"/>
      <w:pPr>
        <w:tabs>
          <w:tab w:val="num" w:pos="6185"/>
        </w:tabs>
        <w:ind w:left="6185" w:hanging="360"/>
      </w:pPr>
    </w:lvl>
    <w:lvl w:ilvl="8" w:tplc="0415001B" w:tentative="1">
      <w:start w:val="1"/>
      <w:numFmt w:val="lowerRoman"/>
      <w:lvlText w:val="%9."/>
      <w:lvlJc w:val="right"/>
      <w:pPr>
        <w:tabs>
          <w:tab w:val="num" w:pos="6905"/>
        </w:tabs>
        <w:ind w:left="6905" w:hanging="180"/>
      </w:pPr>
    </w:lvl>
  </w:abstractNum>
  <w:abstractNum w:abstractNumId="10" w15:restartNumberingAfterBreak="0">
    <w:nsid w:val="14925560"/>
    <w:multiLevelType w:val="hybridMultilevel"/>
    <w:tmpl w:val="C952D3F0"/>
    <w:lvl w:ilvl="0" w:tplc="F0C20CE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EF3D5E"/>
    <w:multiLevelType w:val="hybridMultilevel"/>
    <w:tmpl w:val="D4A2EF72"/>
    <w:lvl w:ilvl="0" w:tplc="FFFFFFFF">
      <w:start w:val="1"/>
      <w:numFmt w:val="decimal"/>
      <w:lvlText w:val="%1."/>
      <w:lvlJc w:val="left"/>
      <w:pPr>
        <w:ind w:left="36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04150017">
      <w:start w:val="1"/>
      <w:numFmt w:val="lowerLetter"/>
      <w:lvlText w:val="%4)"/>
      <w:lvlJc w:val="left"/>
      <w:pPr>
        <w:ind w:left="199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9A6A3C"/>
    <w:multiLevelType w:val="hybridMultilevel"/>
    <w:tmpl w:val="546409A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83A2ABE"/>
    <w:multiLevelType w:val="hybridMultilevel"/>
    <w:tmpl w:val="C7E064D2"/>
    <w:lvl w:ilvl="0" w:tplc="351AAEA2">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D42F53"/>
    <w:multiLevelType w:val="hybridMultilevel"/>
    <w:tmpl w:val="81FC1B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2A23CF"/>
    <w:multiLevelType w:val="hybridMultilevel"/>
    <w:tmpl w:val="D0BEA6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586B84"/>
    <w:multiLevelType w:val="hybridMultilevel"/>
    <w:tmpl w:val="DA5CB89E"/>
    <w:lvl w:ilvl="0" w:tplc="3A683210">
      <w:start w:val="1"/>
      <w:numFmt w:val="decimal"/>
      <w:lvlText w:val="%1."/>
      <w:lvlJc w:val="left"/>
      <w:pPr>
        <w:ind w:left="785" w:hanging="360"/>
      </w:pPr>
      <w:rPr>
        <w:rFonts w:ascii="Calibri" w:eastAsia="Calibri" w:hAnsi="Calibri" w:cs="Times New Roman"/>
        <w:strike w:val="0"/>
        <w:color w:val="auto"/>
      </w:rPr>
    </w:lvl>
    <w:lvl w:ilvl="1" w:tplc="04150011">
      <w:start w:val="1"/>
      <w:numFmt w:val="decimal"/>
      <w:lvlText w:val="%2)"/>
      <w:lvlJc w:val="left"/>
      <w:pPr>
        <w:ind w:left="1353"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9E2250D"/>
    <w:multiLevelType w:val="hybridMultilevel"/>
    <w:tmpl w:val="014054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0F">
      <w:start w:val="1"/>
      <w:numFmt w:val="decimal"/>
      <w:lvlText w:val="%3."/>
      <w:lvlJc w:val="left"/>
      <w:pPr>
        <w:ind w:left="643" w:hanging="360"/>
      </w:pPr>
      <w:rPr>
        <w:rFonts w:hint="default"/>
      </w:rPr>
    </w:lvl>
    <w:lvl w:ilvl="3" w:tplc="04150017">
      <w:start w:val="1"/>
      <w:numFmt w:val="lowerLetter"/>
      <w:lvlText w:val="%4)"/>
      <w:lvlJc w:val="left"/>
      <w:pPr>
        <w:ind w:left="1713"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67180B"/>
    <w:multiLevelType w:val="hybridMultilevel"/>
    <w:tmpl w:val="67440808"/>
    <w:lvl w:ilvl="0" w:tplc="89D0815C">
      <w:start w:val="1"/>
      <w:numFmt w:val="decimal"/>
      <w:lvlText w:val="%1."/>
      <w:lvlJc w:val="left"/>
      <w:pPr>
        <w:ind w:left="928" w:hanging="360"/>
      </w:pPr>
      <w:rPr>
        <w:rFonts w:hint="default"/>
        <w:b w:val="0"/>
      </w:rPr>
    </w:lvl>
    <w:lvl w:ilvl="1" w:tplc="04150017">
      <w:start w:val="1"/>
      <w:numFmt w:val="lowerLetter"/>
      <w:lvlText w:val="%2)"/>
      <w:lvlJc w:val="left"/>
      <w:pPr>
        <w:ind w:left="1713"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6A6C20"/>
    <w:multiLevelType w:val="hybridMultilevel"/>
    <w:tmpl w:val="9210F22A"/>
    <w:lvl w:ilvl="0" w:tplc="C77ECE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58719A"/>
    <w:multiLevelType w:val="hybridMultilevel"/>
    <w:tmpl w:val="CC5C72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235A4B"/>
    <w:multiLevelType w:val="hybridMultilevel"/>
    <w:tmpl w:val="64AED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1713"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624566"/>
    <w:multiLevelType w:val="hybridMultilevel"/>
    <w:tmpl w:val="47641698"/>
    <w:lvl w:ilvl="0" w:tplc="FFFFFFFF">
      <w:start w:val="1"/>
      <w:numFmt w:val="decimal"/>
      <w:lvlText w:val="%1)"/>
      <w:lvlJc w:val="left"/>
      <w:pPr>
        <w:ind w:left="1700" w:hanging="360"/>
      </w:pPr>
      <w:rPr>
        <w:rFonts w:hint="default"/>
        <w:sz w:val="22"/>
        <w:szCs w:val="22"/>
      </w:rPr>
    </w:lvl>
    <w:lvl w:ilvl="1" w:tplc="FFFFFFFF">
      <w:start w:val="1"/>
      <w:numFmt w:val="bullet"/>
      <w:lvlText w:val="o"/>
      <w:lvlJc w:val="left"/>
      <w:pPr>
        <w:ind w:left="2420" w:hanging="360"/>
      </w:pPr>
      <w:rPr>
        <w:rFonts w:ascii="Courier New" w:hAnsi="Courier New" w:cs="Courier New" w:hint="default"/>
      </w:rPr>
    </w:lvl>
    <w:lvl w:ilvl="2" w:tplc="FFFFFFFF" w:tentative="1">
      <w:start w:val="1"/>
      <w:numFmt w:val="bullet"/>
      <w:lvlText w:val=""/>
      <w:lvlJc w:val="left"/>
      <w:pPr>
        <w:ind w:left="3140" w:hanging="360"/>
      </w:pPr>
      <w:rPr>
        <w:rFonts w:ascii="Wingdings" w:hAnsi="Wingdings" w:hint="default"/>
      </w:rPr>
    </w:lvl>
    <w:lvl w:ilvl="3" w:tplc="FFFFFFFF" w:tentative="1">
      <w:start w:val="1"/>
      <w:numFmt w:val="bullet"/>
      <w:lvlText w:val=""/>
      <w:lvlJc w:val="left"/>
      <w:pPr>
        <w:ind w:left="3860" w:hanging="360"/>
      </w:pPr>
      <w:rPr>
        <w:rFonts w:ascii="Symbol" w:hAnsi="Symbol" w:hint="default"/>
      </w:rPr>
    </w:lvl>
    <w:lvl w:ilvl="4" w:tplc="FFFFFFFF" w:tentative="1">
      <w:start w:val="1"/>
      <w:numFmt w:val="bullet"/>
      <w:lvlText w:val="o"/>
      <w:lvlJc w:val="left"/>
      <w:pPr>
        <w:ind w:left="4580" w:hanging="360"/>
      </w:pPr>
      <w:rPr>
        <w:rFonts w:ascii="Courier New" w:hAnsi="Courier New" w:cs="Courier New" w:hint="default"/>
      </w:rPr>
    </w:lvl>
    <w:lvl w:ilvl="5" w:tplc="FFFFFFFF" w:tentative="1">
      <w:start w:val="1"/>
      <w:numFmt w:val="bullet"/>
      <w:lvlText w:val=""/>
      <w:lvlJc w:val="left"/>
      <w:pPr>
        <w:ind w:left="5300" w:hanging="360"/>
      </w:pPr>
      <w:rPr>
        <w:rFonts w:ascii="Wingdings" w:hAnsi="Wingdings" w:hint="default"/>
      </w:rPr>
    </w:lvl>
    <w:lvl w:ilvl="6" w:tplc="FFFFFFFF" w:tentative="1">
      <w:start w:val="1"/>
      <w:numFmt w:val="bullet"/>
      <w:lvlText w:val=""/>
      <w:lvlJc w:val="left"/>
      <w:pPr>
        <w:ind w:left="6020" w:hanging="360"/>
      </w:pPr>
      <w:rPr>
        <w:rFonts w:ascii="Symbol" w:hAnsi="Symbol" w:hint="default"/>
      </w:rPr>
    </w:lvl>
    <w:lvl w:ilvl="7" w:tplc="FFFFFFFF" w:tentative="1">
      <w:start w:val="1"/>
      <w:numFmt w:val="bullet"/>
      <w:lvlText w:val="o"/>
      <w:lvlJc w:val="left"/>
      <w:pPr>
        <w:ind w:left="6740" w:hanging="360"/>
      </w:pPr>
      <w:rPr>
        <w:rFonts w:ascii="Courier New" w:hAnsi="Courier New" w:cs="Courier New" w:hint="default"/>
      </w:rPr>
    </w:lvl>
    <w:lvl w:ilvl="8" w:tplc="FFFFFFFF" w:tentative="1">
      <w:start w:val="1"/>
      <w:numFmt w:val="bullet"/>
      <w:lvlText w:val=""/>
      <w:lvlJc w:val="left"/>
      <w:pPr>
        <w:ind w:left="7460" w:hanging="360"/>
      </w:pPr>
      <w:rPr>
        <w:rFonts w:ascii="Wingdings" w:hAnsi="Wingdings" w:hint="default"/>
      </w:rPr>
    </w:lvl>
  </w:abstractNum>
  <w:abstractNum w:abstractNumId="23" w15:restartNumberingAfterBreak="0">
    <w:nsid w:val="27AB0838"/>
    <w:multiLevelType w:val="hybridMultilevel"/>
    <w:tmpl w:val="1804C6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426DEE"/>
    <w:multiLevelType w:val="hybridMultilevel"/>
    <w:tmpl w:val="2BE09322"/>
    <w:lvl w:ilvl="0" w:tplc="BD1665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61281E"/>
    <w:multiLevelType w:val="hybridMultilevel"/>
    <w:tmpl w:val="829E8134"/>
    <w:lvl w:ilvl="0" w:tplc="FFFFFFFF">
      <w:start w:val="1"/>
      <w:numFmt w:val="decimal"/>
      <w:lvlText w:val="%1."/>
      <w:lvlJc w:val="left"/>
      <w:pPr>
        <w:ind w:left="36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04150011">
      <w:start w:val="1"/>
      <w:numFmt w:val="decimal"/>
      <w:lvlText w:val="%4)"/>
      <w:lvlJc w:val="left"/>
      <w:pPr>
        <w:ind w:left="199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92501F"/>
    <w:multiLevelType w:val="hybridMultilevel"/>
    <w:tmpl w:val="3A86BAE8"/>
    <w:lvl w:ilvl="0" w:tplc="0415000F">
      <w:start w:val="1"/>
      <w:numFmt w:val="decimal"/>
      <w:lvlText w:val="%1."/>
      <w:lvlJc w:val="left"/>
      <w:pPr>
        <w:ind w:left="720" w:hanging="360"/>
      </w:pPr>
    </w:lvl>
    <w:lvl w:ilvl="1" w:tplc="97C8494C">
      <w:start w:val="1"/>
      <w:numFmt w:val="decimal"/>
      <w:lvlText w:val="%2."/>
      <w:lvlJc w:val="left"/>
      <w:pPr>
        <w:ind w:left="1570" w:hanging="4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544771"/>
    <w:multiLevelType w:val="hybridMultilevel"/>
    <w:tmpl w:val="C0CA9586"/>
    <w:lvl w:ilvl="0" w:tplc="FFFFFFFF">
      <w:start w:val="1"/>
      <w:numFmt w:val="decimal"/>
      <w:lvlText w:val="%1."/>
      <w:lvlJc w:val="left"/>
      <w:pPr>
        <w:tabs>
          <w:tab w:val="num" w:pos="785"/>
        </w:tabs>
        <w:ind w:left="785" w:hanging="360"/>
      </w:pPr>
      <w:rPr>
        <w:rFonts w:hint="default"/>
        <w:color w:val="auto"/>
      </w:rPr>
    </w:lvl>
    <w:lvl w:ilvl="1" w:tplc="04150011">
      <w:start w:val="1"/>
      <w:numFmt w:val="decimal"/>
      <w:lvlText w:val="%2)"/>
      <w:lvlJc w:val="left"/>
      <w:pPr>
        <w:ind w:left="1865" w:hanging="360"/>
      </w:pPr>
    </w:lvl>
    <w:lvl w:ilvl="2" w:tplc="FFFFFFFF" w:tentative="1">
      <w:start w:val="1"/>
      <w:numFmt w:val="lowerRoman"/>
      <w:lvlText w:val="%3."/>
      <w:lvlJc w:val="right"/>
      <w:pPr>
        <w:tabs>
          <w:tab w:val="num" w:pos="2585"/>
        </w:tabs>
        <w:ind w:left="2585" w:hanging="180"/>
      </w:pPr>
    </w:lvl>
    <w:lvl w:ilvl="3" w:tplc="FFFFFFFF" w:tentative="1">
      <w:start w:val="1"/>
      <w:numFmt w:val="decimal"/>
      <w:lvlText w:val="%4."/>
      <w:lvlJc w:val="left"/>
      <w:pPr>
        <w:tabs>
          <w:tab w:val="num" w:pos="3305"/>
        </w:tabs>
        <w:ind w:left="3305" w:hanging="360"/>
      </w:pPr>
    </w:lvl>
    <w:lvl w:ilvl="4" w:tplc="FFFFFFFF" w:tentative="1">
      <w:start w:val="1"/>
      <w:numFmt w:val="lowerLetter"/>
      <w:lvlText w:val="%5."/>
      <w:lvlJc w:val="left"/>
      <w:pPr>
        <w:tabs>
          <w:tab w:val="num" w:pos="4025"/>
        </w:tabs>
        <w:ind w:left="4025" w:hanging="360"/>
      </w:pPr>
    </w:lvl>
    <w:lvl w:ilvl="5" w:tplc="FFFFFFFF" w:tentative="1">
      <w:start w:val="1"/>
      <w:numFmt w:val="lowerRoman"/>
      <w:lvlText w:val="%6."/>
      <w:lvlJc w:val="right"/>
      <w:pPr>
        <w:tabs>
          <w:tab w:val="num" w:pos="4745"/>
        </w:tabs>
        <w:ind w:left="4745" w:hanging="180"/>
      </w:pPr>
    </w:lvl>
    <w:lvl w:ilvl="6" w:tplc="FFFFFFFF" w:tentative="1">
      <w:start w:val="1"/>
      <w:numFmt w:val="decimal"/>
      <w:lvlText w:val="%7."/>
      <w:lvlJc w:val="left"/>
      <w:pPr>
        <w:tabs>
          <w:tab w:val="num" w:pos="5465"/>
        </w:tabs>
        <w:ind w:left="5465" w:hanging="360"/>
      </w:pPr>
    </w:lvl>
    <w:lvl w:ilvl="7" w:tplc="FFFFFFFF" w:tentative="1">
      <w:start w:val="1"/>
      <w:numFmt w:val="lowerLetter"/>
      <w:lvlText w:val="%8."/>
      <w:lvlJc w:val="left"/>
      <w:pPr>
        <w:tabs>
          <w:tab w:val="num" w:pos="6185"/>
        </w:tabs>
        <w:ind w:left="6185" w:hanging="360"/>
      </w:pPr>
    </w:lvl>
    <w:lvl w:ilvl="8" w:tplc="FFFFFFFF" w:tentative="1">
      <w:start w:val="1"/>
      <w:numFmt w:val="lowerRoman"/>
      <w:lvlText w:val="%9."/>
      <w:lvlJc w:val="right"/>
      <w:pPr>
        <w:tabs>
          <w:tab w:val="num" w:pos="6905"/>
        </w:tabs>
        <w:ind w:left="6905" w:hanging="180"/>
      </w:pPr>
    </w:lvl>
  </w:abstractNum>
  <w:abstractNum w:abstractNumId="28" w15:restartNumberingAfterBreak="0">
    <w:nsid w:val="34555C8A"/>
    <w:multiLevelType w:val="hybridMultilevel"/>
    <w:tmpl w:val="47421D62"/>
    <w:lvl w:ilvl="0" w:tplc="0415000F">
      <w:start w:val="1"/>
      <w:numFmt w:val="decimal"/>
      <w:lvlText w:val="%1."/>
      <w:lvlJc w:val="left"/>
      <w:pPr>
        <w:ind w:left="2062"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3A7017E8"/>
    <w:multiLevelType w:val="hybridMultilevel"/>
    <w:tmpl w:val="D1065E76"/>
    <w:lvl w:ilvl="0" w:tplc="34FE565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714398"/>
    <w:multiLevelType w:val="hybridMultilevel"/>
    <w:tmpl w:val="D1A89EFA"/>
    <w:lvl w:ilvl="0" w:tplc="04150017">
      <w:start w:val="1"/>
      <w:numFmt w:val="lowerLetter"/>
      <w:lvlText w:val="%1)"/>
      <w:lvlJc w:val="left"/>
      <w:pPr>
        <w:ind w:left="78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41C576F7"/>
    <w:multiLevelType w:val="hybridMultilevel"/>
    <w:tmpl w:val="78DC32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5D79FA"/>
    <w:multiLevelType w:val="hybridMultilevel"/>
    <w:tmpl w:val="57A007FE"/>
    <w:lvl w:ilvl="0" w:tplc="04150011">
      <w:start w:val="1"/>
      <w:numFmt w:val="decimal"/>
      <w:lvlText w:val="%1)"/>
      <w:lvlJc w:val="left"/>
      <w:pPr>
        <w:ind w:left="1080" w:hanging="360"/>
      </w:pPr>
    </w:lvl>
    <w:lvl w:ilvl="1" w:tplc="04150011">
      <w:start w:val="1"/>
      <w:numFmt w:val="decimal"/>
      <w:lvlText w:val="%2)"/>
      <w:lvlJc w:val="left"/>
      <w:pPr>
        <w:ind w:left="108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89961D4"/>
    <w:multiLevelType w:val="hybridMultilevel"/>
    <w:tmpl w:val="874E5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3C67D7"/>
    <w:multiLevelType w:val="hybridMultilevel"/>
    <w:tmpl w:val="DF3C8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1713"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B30418"/>
    <w:multiLevelType w:val="hybridMultilevel"/>
    <w:tmpl w:val="6E645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98C0782"/>
    <w:multiLevelType w:val="hybridMultilevel"/>
    <w:tmpl w:val="49022ACE"/>
    <w:lvl w:ilvl="0" w:tplc="09F8ACDE">
      <w:start w:val="1"/>
      <w:numFmt w:val="decimal"/>
      <w:lvlText w:val="%1."/>
      <w:lvlJc w:val="left"/>
      <w:pPr>
        <w:tabs>
          <w:tab w:val="num" w:pos="785"/>
        </w:tabs>
        <w:ind w:left="785" w:hanging="360"/>
      </w:pPr>
      <w:rPr>
        <w:rFonts w:hint="default"/>
        <w:color w:val="auto"/>
      </w:rPr>
    </w:lvl>
    <w:lvl w:ilvl="1" w:tplc="04150011">
      <w:start w:val="1"/>
      <w:numFmt w:val="decimal"/>
      <w:lvlText w:val="%2)"/>
      <w:lvlJc w:val="left"/>
      <w:pPr>
        <w:tabs>
          <w:tab w:val="num" w:pos="1865"/>
        </w:tabs>
        <w:ind w:left="1865" w:hanging="360"/>
      </w:pPr>
    </w:lvl>
    <w:lvl w:ilvl="2" w:tplc="0415001B" w:tentative="1">
      <w:start w:val="1"/>
      <w:numFmt w:val="lowerRoman"/>
      <w:lvlText w:val="%3."/>
      <w:lvlJc w:val="right"/>
      <w:pPr>
        <w:tabs>
          <w:tab w:val="num" w:pos="2585"/>
        </w:tabs>
        <w:ind w:left="2585" w:hanging="180"/>
      </w:pPr>
    </w:lvl>
    <w:lvl w:ilvl="3" w:tplc="0415000F" w:tentative="1">
      <w:start w:val="1"/>
      <w:numFmt w:val="decimal"/>
      <w:lvlText w:val="%4."/>
      <w:lvlJc w:val="left"/>
      <w:pPr>
        <w:tabs>
          <w:tab w:val="num" w:pos="3305"/>
        </w:tabs>
        <w:ind w:left="3305" w:hanging="360"/>
      </w:pPr>
    </w:lvl>
    <w:lvl w:ilvl="4" w:tplc="04150019" w:tentative="1">
      <w:start w:val="1"/>
      <w:numFmt w:val="lowerLetter"/>
      <w:lvlText w:val="%5."/>
      <w:lvlJc w:val="left"/>
      <w:pPr>
        <w:tabs>
          <w:tab w:val="num" w:pos="4025"/>
        </w:tabs>
        <w:ind w:left="4025" w:hanging="360"/>
      </w:pPr>
    </w:lvl>
    <w:lvl w:ilvl="5" w:tplc="0415001B" w:tentative="1">
      <w:start w:val="1"/>
      <w:numFmt w:val="lowerRoman"/>
      <w:lvlText w:val="%6."/>
      <w:lvlJc w:val="right"/>
      <w:pPr>
        <w:tabs>
          <w:tab w:val="num" w:pos="4745"/>
        </w:tabs>
        <w:ind w:left="4745" w:hanging="180"/>
      </w:pPr>
    </w:lvl>
    <w:lvl w:ilvl="6" w:tplc="0415000F" w:tentative="1">
      <w:start w:val="1"/>
      <w:numFmt w:val="decimal"/>
      <w:lvlText w:val="%7."/>
      <w:lvlJc w:val="left"/>
      <w:pPr>
        <w:tabs>
          <w:tab w:val="num" w:pos="5465"/>
        </w:tabs>
        <w:ind w:left="5465" w:hanging="360"/>
      </w:pPr>
    </w:lvl>
    <w:lvl w:ilvl="7" w:tplc="04150019" w:tentative="1">
      <w:start w:val="1"/>
      <w:numFmt w:val="lowerLetter"/>
      <w:lvlText w:val="%8."/>
      <w:lvlJc w:val="left"/>
      <w:pPr>
        <w:tabs>
          <w:tab w:val="num" w:pos="6185"/>
        </w:tabs>
        <w:ind w:left="6185" w:hanging="360"/>
      </w:pPr>
    </w:lvl>
    <w:lvl w:ilvl="8" w:tplc="0415001B" w:tentative="1">
      <w:start w:val="1"/>
      <w:numFmt w:val="lowerRoman"/>
      <w:lvlText w:val="%9."/>
      <w:lvlJc w:val="right"/>
      <w:pPr>
        <w:tabs>
          <w:tab w:val="num" w:pos="6905"/>
        </w:tabs>
        <w:ind w:left="6905" w:hanging="180"/>
      </w:pPr>
    </w:lvl>
  </w:abstractNum>
  <w:abstractNum w:abstractNumId="37" w15:restartNumberingAfterBreak="0">
    <w:nsid w:val="5B256F07"/>
    <w:multiLevelType w:val="hybridMultilevel"/>
    <w:tmpl w:val="F51269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10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3B628A"/>
    <w:multiLevelType w:val="hybridMultilevel"/>
    <w:tmpl w:val="7CE4BEC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349B1"/>
    <w:multiLevelType w:val="hybridMultilevel"/>
    <w:tmpl w:val="7B1E8B34"/>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0" w15:restartNumberingAfterBreak="0">
    <w:nsid w:val="621A4D4E"/>
    <w:multiLevelType w:val="hybridMultilevel"/>
    <w:tmpl w:val="92CAEA08"/>
    <w:lvl w:ilvl="0" w:tplc="FFFFFFFF">
      <w:start w:val="1"/>
      <w:numFmt w:val="decimal"/>
      <w:lvlText w:val="%1)"/>
      <w:lvlJc w:val="left"/>
      <w:pPr>
        <w:ind w:left="1700" w:hanging="360"/>
      </w:pPr>
      <w:rPr>
        <w:rFonts w:hint="default"/>
        <w:sz w:val="22"/>
        <w:szCs w:val="22"/>
      </w:rPr>
    </w:lvl>
    <w:lvl w:ilvl="1" w:tplc="04150017">
      <w:start w:val="1"/>
      <w:numFmt w:val="lowerLetter"/>
      <w:lvlText w:val="%2)"/>
      <w:lvlJc w:val="left"/>
      <w:pPr>
        <w:ind w:left="1713" w:hanging="360"/>
      </w:pPr>
    </w:lvl>
    <w:lvl w:ilvl="2" w:tplc="FFFFFFFF" w:tentative="1">
      <w:start w:val="1"/>
      <w:numFmt w:val="bullet"/>
      <w:lvlText w:val=""/>
      <w:lvlJc w:val="left"/>
      <w:pPr>
        <w:ind w:left="3140" w:hanging="360"/>
      </w:pPr>
      <w:rPr>
        <w:rFonts w:ascii="Wingdings" w:hAnsi="Wingdings" w:hint="default"/>
      </w:rPr>
    </w:lvl>
    <w:lvl w:ilvl="3" w:tplc="FFFFFFFF" w:tentative="1">
      <w:start w:val="1"/>
      <w:numFmt w:val="bullet"/>
      <w:lvlText w:val=""/>
      <w:lvlJc w:val="left"/>
      <w:pPr>
        <w:ind w:left="3860" w:hanging="360"/>
      </w:pPr>
      <w:rPr>
        <w:rFonts w:ascii="Symbol" w:hAnsi="Symbol" w:hint="default"/>
      </w:rPr>
    </w:lvl>
    <w:lvl w:ilvl="4" w:tplc="FFFFFFFF" w:tentative="1">
      <w:start w:val="1"/>
      <w:numFmt w:val="bullet"/>
      <w:lvlText w:val="o"/>
      <w:lvlJc w:val="left"/>
      <w:pPr>
        <w:ind w:left="4580" w:hanging="360"/>
      </w:pPr>
      <w:rPr>
        <w:rFonts w:ascii="Courier New" w:hAnsi="Courier New" w:cs="Courier New" w:hint="default"/>
      </w:rPr>
    </w:lvl>
    <w:lvl w:ilvl="5" w:tplc="FFFFFFFF" w:tentative="1">
      <w:start w:val="1"/>
      <w:numFmt w:val="bullet"/>
      <w:lvlText w:val=""/>
      <w:lvlJc w:val="left"/>
      <w:pPr>
        <w:ind w:left="5300" w:hanging="360"/>
      </w:pPr>
      <w:rPr>
        <w:rFonts w:ascii="Wingdings" w:hAnsi="Wingdings" w:hint="default"/>
      </w:rPr>
    </w:lvl>
    <w:lvl w:ilvl="6" w:tplc="FFFFFFFF" w:tentative="1">
      <w:start w:val="1"/>
      <w:numFmt w:val="bullet"/>
      <w:lvlText w:val=""/>
      <w:lvlJc w:val="left"/>
      <w:pPr>
        <w:ind w:left="6020" w:hanging="360"/>
      </w:pPr>
      <w:rPr>
        <w:rFonts w:ascii="Symbol" w:hAnsi="Symbol" w:hint="default"/>
      </w:rPr>
    </w:lvl>
    <w:lvl w:ilvl="7" w:tplc="FFFFFFFF" w:tentative="1">
      <w:start w:val="1"/>
      <w:numFmt w:val="bullet"/>
      <w:lvlText w:val="o"/>
      <w:lvlJc w:val="left"/>
      <w:pPr>
        <w:ind w:left="6740" w:hanging="360"/>
      </w:pPr>
      <w:rPr>
        <w:rFonts w:ascii="Courier New" w:hAnsi="Courier New" w:cs="Courier New" w:hint="default"/>
      </w:rPr>
    </w:lvl>
    <w:lvl w:ilvl="8" w:tplc="FFFFFFFF" w:tentative="1">
      <w:start w:val="1"/>
      <w:numFmt w:val="bullet"/>
      <w:lvlText w:val=""/>
      <w:lvlJc w:val="left"/>
      <w:pPr>
        <w:ind w:left="7460" w:hanging="360"/>
      </w:pPr>
      <w:rPr>
        <w:rFonts w:ascii="Wingdings" w:hAnsi="Wingdings" w:hint="default"/>
      </w:rPr>
    </w:lvl>
  </w:abstractNum>
  <w:abstractNum w:abstractNumId="41" w15:restartNumberingAfterBreak="0">
    <w:nsid w:val="62FF281A"/>
    <w:multiLevelType w:val="hybridMultilevel"/>
    <w:tmpl w:val="605AE126"/>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690F34F5"/>
    <w:multiLevelType w:val="hybridMultilevel"/>
    <w:tmpl w:val="28825528"/>
    <w:lvl w:ilvl="0" w:tplc="46E8AA1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6A3F4A1D"/>
    <w:multiLevelType w:val="hybridMultilevel"/>
    <w:tmpl w:val="1A28D922"/>
    <w:lvl w:ilvl="0" w:tplc="0AEE9BE8">
      <w:start w:val="1"/>
      <w:numFmt w:val="decimal"/>
      <w:lvlText w:val="%1)"/>
      <w:lvlJc w:val="left"/>
      <w:pPr>
        <w:ind w:left="1363" w:hanging="360"/>
      </w:pPr>
      <w:rPr>
        <w:rFonts w:ascii="Calibri" w:eastAsia="Calibri" w:hAnsi="Calibri" w:cs="Times New Roman"/>
      </w:r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44" w15:restartNumberingAfterBreak="0">
    <w:nsid w:val="71DB2C92"/>
    <w:multiLevelType w:val="hybridMultilevel"/>
    <w:tmpl w:val="0B18DB12"/>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AF00BB9"/>
    <w:multiLevelType w:val="hybridMultilevel"/>
    <w:tmpl w:val="E54C3AD4"/>
    <w:lvl w:ilvl="0" w:tplc="BD16651C">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604477"/>
    <w:multiLevelType w:val="hybridMultilevel"/>
    <w:tmpl w:val="E180667C"/>
    <w:lvl w:ilvl="0" w:tplc="04150017">
      <w:start w:val="1"/>
      <w:numFmt w:val="lowerLetter"/>
      <w:lvlText w:val="%1)"/>
      <w:lvlJc w:val="left"/>
      <w:pPr>
        <w:ind w:left="1080" w:hanging="360"/>
      </w:pPr>
    </w:lvl>
    <w:lvl w:ilvl="1" w:tplc="04150011">
      <w:start w:val="1"/>
      <w:numFmt w:val="decimal"/>
      <w:lvlText w:val="%2)"/>
      <w:lvlJc w:val="left"/>
      <w:pPr>
        <w:ind w:left="108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6239495">
    <w:abstractNumId w:val="8"/>
  </w:num>
  <w:num w:numId="2" w16cid:durableId="1325861887">
    <w:abstractNumId w:val="10"/>
  </w:num>
  <w:num w:numId="3" w16cid:durableId="1456216903">
    <w:abstractNumId w:val="4"/>
  </w:num>
  <w:num w:numId="4" w16cid:durableId="637534849">
    <w:abstractNumId w:val="9"/>
  </w:num>
  <w:num w:numId="5" w16cid:durableId="881863129">
    <w:abstractNumId w:val="1"/>
  </w:num>
  <w:num w:numId="6" w16cid:durableId="1826312352">
    <w:abstractNumId w:val="16"/>
  </w:num>
  <w:num w:numId="7" w16cid:durableId="522474602">
    <w:abstractNumId w:val="28"/>
  </w:num>
  <w:num w:numId="8" w16cid:durableId="179202624">
    <w:abstractNumId w:val="22"/>
  </w:num>
  <w:num w:numId="9" w16cid:durableId="1577476724">
    <w:abstractNumId w:val="18"/>
  </w:num>
  <w:num w:numId="10" w16cid:durableId="411391420">
    <w:abstractNumId w:val="14"/>
  </w:num>
  <w:num w:numId="11" w16cid:durableId="1872110866">
    <w:abstractNumId w:val="46"/>
  </w:num>
  <w:num w:numId="12" w16cid:durableId="1304655832">
    <w:abstractNumId w:val="17"/>
  </w:num>
  <w:num w:numId="13" w16cid:durableId="1575506837">
    <w:abstractNumId w:val="34"/>
  </w:num>
  <w:num w:numId="14" w16cid:durableId="1550339612">
    <w:abstractNumId w:val="39"/>
  </w:num>
  <w:num w:numId="15" w16cid:durableId="514147628">
    <w:abstractNumId w:val="7"/>
  </w:num>
  <w:num w:numId="16" w16cid:durableId="1732072377">
    <w:abstractNumId w:val="45"/>
  </w:num>
  <w:num w:numId="17" w16cid:durableId="1469319170">
    <w:abstractNumId w:val="24"/>
  </w:num>
  <w:num w:numId="18" w16cid:durableId="1415783382">
    <w:abstractNumId w:val="38"/>
  </w:num>
  <w:num w:numId="19" w16cid:durableId="819690101">
    <w:abstractNumId w:val="37"/>
  </w:num>
  <w:num w:numId="20" w16cid:durableId="1172916791">
    <w:abstractNumId w:val="29"/>
  </w:num>
  <w:num w:numId="21" w16cid:durableId="868223002">
    <w:abstractNumId w:val="11"/>
  </w:num>
  <w:num w:numId="22" w16cid:durableId="386883095">
    <w:abstractNumId w:val="26"/>
  </w:num>
  <w:num w:numId="23" w16cid:durableId="799883084">
    <w:abstractNumId w:val="6"/>
  </w:num>
  <w:num w:numId="24" w16cid:durableId="482357552">
    <w:abstractNumId w:val="12"/>
  </w:num>
  <w:num w:numId="25" w16cid:durableId="1674798514">
    <w:abstractNumId w:val="27"/>
  </w:num>
  <w:num w:numId="26" w16cid:durableId="119736417">
    <w:abstractNumId w:val="43"/>
  </w:num>
  <w:num w:numId="27" w16cid:durableId="2143964220">
    <w:abstractNumId w:val="0"/>
  </w:num>
  <w:num w:numId="28" w16cid:durableId="120731708">
    <w:abstractNumId w:val="44"/>
  </w:num>
  <w:num w:numId="29" w16cid:durableId="455375650">
    <w:abstractNumId w:val="31"/>
  </w:num>
  <w:num w:numId="30" w16cid:durableId="1577471113">
    <w:abstractNumId w:val="42"/>
  </w:num>
  <w:num w:numId="31" w16cid:durableId="357849539">
    <w:abstractNumId w:val="15"/>
  </w:num>
  <w:num w:numId="32" w16cid:durableId="929196129">
    <w:abstractNumId w:val="35"/>
  </w:num>
  <w:num w:numId="33" w16cid:durableId="1288051691">
    <w:abstractNumId w:val="40"/>
  </w:num>
  <w:num w:numId="34" w16cid:durableId="724261010">
    <w:abstractNumId w:val="13"/>
  </w:num>
  <w:num w:numId="35" w16cid:durableId="460807341">
    <w:abstractNumId w:val="30"/>
  </w:num>
  <w:num w:numId="36" w16cid:durableId="76631347">
    <w:abstractNumId w:val="19"/>
  </w:num>
  <w:num w:numId="37" w16cid:durableId="627664400">
    <w:abstractNumId w:val="2"/>
  </w:num>
  <w:num w:numId="38" w16cid:durableId="1804614133">
    <w:abstractNumId w:val="3"/>
  </w:num>
  <w:num w:numId="39" w16cid:durableId="90518491">
    <w:abstractNumId w:val="23"/>
  </w:num>
  <w:num w:numId="40" w16cid:durableId="1286619440">
    <w:abstractNumId w:val="20"/>
  </w:num>
  <w:num w:numId="41" w16cid:durableId="1262227736">
    <w:abstractNumId w:val="5"/>
  </w:num>
  <w:num w:numId="42" w16cid:durableId="608665145">
    <w:abstractNumId w:val="33"/>
  </w:num>
  <w:num w:numId="43" w16cid:durableId="1627733393">
    <w:abstractNumId w:val="36"/>
  </w:num>
  <w:num w:numId="44" w16cid:durableId="1494757447">
    <w:abstractNumId w:val="25"/>
  </w:num>
  <w:num w:numId="45" w16cid:durableId="419912961">
    <w:abstractNumId w:val="21"/>
  </w:num>
  <w:num w:numId="46" w16cid:durableId="2009020922">
    <w:abstractNumId w:val="32"/>
  </w:num>
  <w:num w:numId="47" w16cid:durableId="1448348499">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76"/>
    <w:rsid w:val="00002716"/>
    <w:rsid w:val="00002C11"/>
    <w:rsid w:val="000030C5"/>
    <w:rsid w:val="000033B0"/>
    <w:rsid w:val="000039CC"/>
    <w:rsid w:val="00003DEB"/>
    <w:rsid w:val="00004427"/>
    <w:rsid w:val="00004BAA"/>
    <w:rsid w:val="00004E09"/>
    <w:rsid w:val="00005E3A"/>
    <w:rsid w:val="000077CC"/>
    <w:rsid w:val="00010643"/>
    <w:rsid w:val="00010873"/>
    <w:rsid w:val="00010BC2"/>
    <w:rsid w:val="00010E3B"/>
    <w:rsid w:val="00011743"/>
    <w:rsid w:val="000126F8"/>
    <w:rsid w:val="00012AB3"/>
    <w:rsid w:val="00013256"/>
    <w:rsid w:val="000132DC"/>
    <w:rsid w:val="000136F8"/>
    <w:rsid w:val="00013CA6"/>
    <w:rsid w:val="00013F4E"/>
    <w:rsid w:val="00014234"/>
    <w:rsid w:val="00014D39"/>
    <w:rsid w:val="000156F7"/>
    <w:rsid w:val="00020FD4"/>
    <w:rsid w:val="00021533"/>
    <w:rsid w:val="0002190E"/>
    <w:rsid w:val="000226AB"/>
    <w:rsid w:val="000228E3"/>
    <w:rsid w:val="00022FD8"/>
    <w:rsid w:val="00026B79"/>
    <w:rsid w:val="00026F6E"/>
    <w:rsid w:val="000271A6"/>
    <w:rsid w:val="00027378"/>
    <w:rsid w:val="000273F9"/>
    <w:rsid w:val="00030D77"/>
    <w:rsid w:val="00035480"/>
    <w:rsid w:val="00035F36"/>
    <w:rsid w:val="000373A0"/>
    <w:rsid w:val="00040A15"/>
    <w:rsid w:val="000421CA"/>
    <w:rsid w:val="00043060"/>
    <w:rsid w:val="000441DA"/>
    <w:rsid w:val="00044468"/>
    <w:rsid w:val="00044B0B"/>
    <w:rsid w:val="0004501D"/>
    <w:rsid w:val="0004528D"/>
    <w:rsid w:val="000452EC"/>
    <w:rsid w:val="00045A08"/>
    <w:rsid w:val="000479EB"/>
    <w:rsid w:val="000513C9"/>
    <w:rsid w:val="000517E0"/>
    <w:rsid w:val="00051F49"/>
    <w:rsid w:val="00052D29"/>
    <w:rsid w:val="00052DD5"/>
    <w:rsid w:val="000536C3"/>
    <w:rsid w:val="000546F0"/>
    <w:rsid w:val="000548D8"/>
    <w:rsid w:val="00054970"/>
    <w:rsid w:val="00055219"/>
    <w:rsid w:val="00055DCA"/>
    <w:rsid w:val="0005603A"/>
    <w:rsid w:val="000563F8"/>
    <w:rsid w:val="000564C2"/>
    <w:rsid w:val="0005757A"/>
    <w:rsid w:val="000575F4"/>
    <w:rsid w:val="000578F3"/>
    <w:rsid w:val="00060087"/>
    <w:rsid w:val="00060437"/>
    <w:rsid w:val="00061860"/>
    <w:rsid w:val="00061E7E"/>
    <w:rsid w:val="00062E00"/>
    <w:rsid w:val="000638CF"/>
    <w:rsid w:val="00065FB1"/>
    <w:rsid w:val="00066731"/>
    <w:rsid w:val="000710BD"/>
    <w:rsid w:val="000719CA"/>
    <w:rsid w:val="000724EC"/>
    <w:rsid w:val="00072D0F"/>
    <w:rsid w:val="000734C3"/>
    <w:rsid w:val="00076445"/>
    <w:rsid w:val="0007713A"/>
    <w:rsid w:val="000775A6"/>
    <w:rsid w:val="000806AC"/>
    <w:rsid w:val="000817BC"/>
    <w:rsid w:val="00082290"/>
    <w:rsid w:val="000830D5"/>
    <w:rsid w:val="000838A4"/>
    <w:rsid w:val="00085031"/>
    <w:rsid w:val="00085D5A"/>
    <w:rsid w:val="000902D9"/>
    <w:rsid w:val="00090A60"/>
    <w:rsid w:val="00092696"/>
    <w:rsid w:val="000930A6"/>
    <w:rsid w:val="00093297"/>
    <w:rsid w:val="00093833"/>
    <w:rsid w:val="00093D27"/>
    <w:rsid w:val="00094BDB"/>
    <w:rsid w:val="00096F96"/>
    <w:rsid w:val="00097D21"/>
    <w:rsid w:val="000A14C0"/>
    <w:rsid w:val="000A19FE"/>
    <w:rsid w:val="000A40D7"/>
    <w:rsid w:val="000A52A3"/>
    <w:rsid w:val="000A55A3"/>
    <w:rsid w:val="000B0369"/>
    <w:rsid w:val="000B0B13"/>
    <w:rsid w:val="000B0CEB"/>
    <w:rsid w:val="000B1EBD"/>
    <w:rsid w:val="000B2762"/>
    <w:rsid w:val="000B2D34"/>
    <w:rsid w:val="000B3726"/>
    <w:rsid w:val="000B395C"/>
    <w:rsid w:val="000B5279"/>
    <w:rsid w:val="000B60CD"/>
    <w:rsid w:val="000B6674"/>
    <w:rsid w:val="000C1237"/>
    <w:rsid w:val="000C1AEB"/>
    <w:rsid w:val="000C1D62"/>
    <w:rsid w:val="000C2E56"/>
    <w:rsid w:val="000C3217"/>
    <w:rsid w:val="000C350C"/>
    <w:rsid w:val="000C3F38"/>
    <w:rsid w:val="000C3FCB"/>
    <w:rsid w:val="000C472B"/>
    <w:rsid w:val="000C4FB0"/>
    <w:rsid w:val="000D0748"/>
    <w:rsid w:val="000D19F2"/>
    <w:rsid w:val="000D2A99"/>
    <w:rsid w:val="000D32EE"/>
    <w:rsid w:val="000D33E1"/>
    <w:rsid w:val="000D6275"/>
    <w:rsid w:val="000D6B3C"/>
    <w:rsid w:val="000D70A3"/>
    <w:rsid w:val="000E0C8E"/>
    <w:rsid w:val="000E1000"/>
    <w:rsid w:val="000E11F1"/>
    <w:rsid w:val="000E1CFA"/>
    <w:rsid w:val="000E2119"/>
    <w:rsid w:val="000E2F80"/>
    <w:rsid w:val="000E4095"/>
    <w:rsid w:val="000E46D0"/>
    <w:rsid w:val="000E50F2"/>
    <w:rsid w:val="000E727D"/>
    <w:rsid w:val="000F02C1"/>
    <w:rsid w:val="000F0DB5"/>
    <w:rsid w:val="000F0FE3"/>
    <w:rsid w:val="000F1DC2"/>
    <w:rsid w:val="000F27BA"/>
    <w:rsid w:val="000F295C"/>
    <w:rsid w:val="000F32BD"/>
    <w:rsid w:val="000F4477"/>
    <w:rsid w:val="000F46F4"/>
    <w:rsid w:val="000F4780"/>
    <w:rsid w:val="000F4C74"/>
    <w:rsid w:val="00101122"/>
    <w:rsid w:val="00102E5E"/>
    <w:rsid w:val="00104368"/>
    <w:rsid w:val="00104E9D"/>
    <w:rsid w:val="00105B54"/>
    <w:rsid w:val="00106A33"/>
    <w:rsid w:val="001075B6"/>
    <w:rsid w:val="0011021A"/>
    <w:rsid w:val="001104E2"/>
    <w:rsid w:val="0011109C"/>
    <w:rsid w:val="0011161E"/>
    <w:rsid w:val="00111B6A"/>
    <w:rsid w:val="00112990"/>
    <w:rsid w:val="00114FDE"/>
    <w:rsid w:val="0011565D"/>
    <w:rsid w:val="00115EEB"/>
    <w:rsid w:val="0011644D"/>
    <w:rsid w:val="001200F4"/>
    <w:rsid w:val="00121464"/>
    <w:rsid w:val="00121F2F"/>
    <w:rsid w:val="0012200A"/>
    <w:rsid w:val="00122920"/>
    <w:rsid w:val="00122C95"/>
    <w:rsid w:val="0012340D"/>
    <w:rsid w:val="0012384E"/>
    <w:rsid w:val="001265AA"/>
    <w:rsid w:val="001267B6"/>
    <w:rsid w:val="00130E21"/>
    <w:rsid w:val="0013162B"/>
    <w:rsid w:val="001327AA"/>
    <w:rsid w:val="001327DB"/>
    <w:rsid w:val="00132A10"/>
    <w:rsid w:val="00132EEF"/>
    <w:rsid w:val="00134872"/>
    <w:rsid w:val="0013531F"/>
    <w:rsid w:val="0013551A"/>
    <w:rsid w:val="00136147"/>
    <w:rsid w:val="00136F47"/>
    <w:rsid w:val="001403E0"/>
    <w:rsid w:val="0014143E"/>
    <w:rsid w:val="0014391C"/>
    <w:rsid w:val="00143B22"/>
    <w:rsid w:val="00143B24"/>
    <w:rsid w:val="001458FD"/>
    <w:rsid w:val="00146510"/>
    <w:rsid w:val="001465A3"/>
    <w:rsid w:val="00146838"/>
    <w:rsid w:val="00147AAF"/>
    <w:rsid w:val="00150709"/>
    <w:rsid w:val="001518F7"/>
    <w:rsid w:val="00151E42"/>
    <w:rsid w:val="001545FD"/>
    <w:rsid w:val="00154ACF"/>
    <w:rsid w:val="0015513E"/>
    <w:rsid w:val="001564A5"/>
    <w:rsid w:val="00156913"/>
    <w:rsid w:val="001570AC"/>
    <w:rsid w:val="0015758E"/>
    <w:rsid w:val="001612AF"/>
    <w:rsid w:val="00161757"/>
    <w:rsid w:val="00161C30"/>
    <w:rsid w:val="00161CA5"/>
    <w:rsid w:val="00163152"/>
    <w:rsid w:val="001642B8"/>
    <w:rsid w:val="0016599A"/>
    <w:rsid w:val="00165AAB"/>
    <w:rsid w:val="00165E65"/>
    <w:rsid w:val="00166BB0"/>
    <w:rsid w:val="00166C13"/>
    <w:rsid w:val="00167E2F"/>
    <w:rsid w:val="00167F0A"/>
    <w:rsid w:val="00170E09"/>
    <w:rsid w:val="00172B93"/>
    <w:rsid w:val="00172E83"/>
    <w:rsid w:val="001732EA"/>
    <w:rsid w:val="00173CB5"/>
    <w:rsid w:val="00174500"/>
    <w:rsid w:val="0017503B"/>
    <w:rsid w:val="0017586B"/>
    <w:rsid w:val="001774BC"/>
    <w:rsid w:val="00177C52"/>
    <w:rsid w:val="00177D27"/>
    <w:rsid w:val="00180682"/>
    <w:rsid w:val="00182175"/>
    <w:rsid w:val="00182EF5"/>
    <w:rsid w:val="00185AB9"/>
    <w:rsid w:val="001873BA"/>
    <w:rsid w:val="001876D2"/>
    <w:rsid w:val="0018786E"/>
    <w:rsid w:val="00187CE6"/>
    <w:rsid w:val="0019015E"/>
    <w:rsid w:val="001914B3"/>
    <w:rsid w:val="00191C90"/>
    <w:rsid w:val="00192DD1"/>
    <w:rsid w:val="00192DDE"/>
    <w:rsid w:val="00195FFC"/>
    <w:rsid w:val="001961B6"/>
    <w:rsid w:val="00196311"/>
    <w:rsid w:val="0019659C"/>
    <w:rsid w:val="00196D68"/>
    <w:rsid w:val="001A01C8"/>
    <w:rsid w:val="001A0222"/>
    <w:rsid w:val="001A127E"/>
    <w:rsid w:val="001A1B48"/>
    <w:rsid w:val="001A2567"/>
    <w:rsid w:val="001A2A5C"/>
    <w:rsid w:val="001A4E04"/>
    <w:rsid w:val="001B0FAC"/>
    <w:rsid w:val="001B152A"/>
    <w:rsid w:val="001B1EA4"/>
    <w:rsid w:val="001B2A5E"/>
    <w:rsid w:val="001B3AE8"/>
    <w:rsid w:val="001B440A"/>
    <w:rsid w:val="001B49B1"/>
    <w:rsid w:val="001B6ABD"/>
    <w:rsid w:val="001B725A"/>
    <w:rsid w:val="001B7DC9"/>
    <w:rsid w:val="001C0FF1"/>
    <w:rsid w:val="001C15E1"/>
    <w:rsid w:val="001C20EE"/>
    <w:rsid w:val="001C26C2"/>
    <w:rsid w:val="001C3349"/>
    <w:rsid w:val="001C4199"/>
    <w:rsid w:val="001C4B06"/>
    <w:rsid w:val="001C51F9"/>
    <w:rsid w:val="001C5DAD"/>
    <w:rsid w:val="001C6A97"/>
    <w:rsid w:val="001C6DA9"/>
    <w:rsid w:val="001C71D6"/>
    <w:rsid w:val="001D1626"/>
    <w:rsid w:val="001D1C13"/>
    <w:rsid w:val="001D233E"/>
    <w:rsid w:val="001D258D"/>
    <w:rsid w:val="001D2B35"/>
    <w:rsid w:val="001D331B"/>
    <w:rsid w:val="001D353E"/>
    <w:rsid w:val="001D3F8A"/>
    <w:rsid w:val="001D5417"/>
    <w:rsid w:val="001D6C62"/>
    <w:rsid w:val="001D6CEF"/>
    <w:rsid w:val="001D7381"/>
    <w:rsid w:val="001E1B95"/>
    <w:rsid w:val="001E5DC5"/>
    <w:rsid w:val="001F0850"/>
    <w:rsid w:val="001F0C05"/>
    <w:rsid w:val="001F0DD5"/>
    <w:rsid w:val="001F142C"/>
    <w:rsid w:val="001F211C"/>
    <w:rsid w:val="001F2491"/>
    <w:rsid w:val="001F2731"/>
    <w:rsid w:val="001F2A26"/>
    <w:rsid w:val="001F37F7"/>
    <w:rsid w:val="001F4363"/>
    <w:rsid w:val="001F499D"/>
    <w:rsid w:val="001F502F"/>
    <w:rsid w:val="001F53ED"/>
    <w:rsid w:val="001F5624"/>
    <w:rsid w:val="001F5838"/>
    <w:rsid w:val="001F7A84"/>
    <w:rsid w:val="00200059"/>
    <w:rsid w:val="00200463"/>
    <w:rsid w:val="00201542"/>
    <w:rsid w:val="00202C9F"/>
    <w:rsid w:val="002036A4"/>
    <w:rsid w:val="0020414E"/>
    <w:rsid w:val="00204E20"/>
    <w:rsid w:val="00204E40"/>
    <w:rsid w:val="00207BDB"/>
    <w:rsid w:val="002109C5"/>
    <w:rsid w:val="00212D33"/>
    <w:rsid w:val="00212F20"/>
    <w:rsid w:val="002137D2"/>
    <w:rsid w:val="002138FE"/>
    <w:rsid w:val="00214394"/>
    <w:rsid w:val="00215B82"/>
    <w:rsid w:val="00216CDB"/>
    <w:rsid w:val="00217882"/>
    <w:rsid w:val="00217BD1"/>
    <w:rsid w:val="00217FE7"/>
    <w:rsid w:val="0022098B"/>
    <w:rsid w:val="00220E6E"/>
    <w:rsid w:val="002213D4"/>
    <w:rsid w:val="00224B62"/>
    <w:rsid w:val="00230677"/>
    <w:rsid w:val="00230836"/>
    <w:rsid w:val="0023129D"/>
    <w:rsid w:val="00232644"/>
    <w:rsid w:val="002341C7"/>
    <w:rsid w:val="002345C5"/>
    <w:rsid w:val="002346C3"/>
    <w:rsid w:val="002356F2"/>
    <w:rsid w:val="00237A9D"/>
    <w:rsid w:val="00237DCA"/>
    <w:rsid w:val="00237F1A"/>
    <w:rsid w:val="0024156E"/>
    <w:rsid w:val="00242F90"/>
    <w:rsid w:val="00243BEF"/>
    <w:rsid w:val="002447AC"/>
    <w:rsid w:val="00244950"/>
    <w:rsid w:val="0024642B"/>
    <w:rsid w:val="0024704D"/>
    <w:rsid w:val="0024750C"/>
    <w:rsid w:val="00247E13"/>
    <w:rsid w:val="00250581"/>
    <w:rsid w:val="00250AB1"/>
    <w:rsid w:val="002511F5"/>
    <w:rsid w:val="002514CE"/>
    <w:rsid w:val="00251943"/>
    <w:rsid w:val="002529C1"/>
    <w:rsid w:val="00252ADA"/>
    <w:rsid w:val="0025568F"/>
    <w:rsid w:val="0025581F"/>
    <w:rsid w:val="0025584C"/>
    <w:rsid w:val="00255BA9"/>
    <w:rsid w:val="00257186"/>
    <w:rsid w:val="0025748C"/>
    <w:rsid w:val="0026008C"/>
    <w:rsid w:val="002612FF"/>
    <w:rsid w:val="00262B80"/>
    <w:rsid w:val="00264AC4"/>
    <w:rsid w:val="00265DDA"/>
    <w:rsid w:val="00265E3C"/>
    <w:rsid w:val="00266758"/>
    <w:rsid w:val="0026712B"/>
    <w:rsid w:val="00270BF4"/>
    <w:rsid w:val="00271FEF"/>
    <w:rsid w:val="0027226A"/>
    <w:rsid w:val="00272FBF"/>
    <w:rsid w:val="00273B80"/>
    <w:rsid w:val="00274CCB"/>
    <w:rsid w:val="00274EA3"/>
    <w:rsid w:val="00274ED6"/>
    <w:rsid w:val="00276422"/>
    <w:rsid w:val="00276C01"/>
    <w:rsid w:val="00276CAF"/>
    <w:rsid w:val="002771E9"/>
    <w:rsid w:val="002808FF"/>
    <w:rsid w:val="00280B0A"/>
    <w:rsid w:val="00282514"/>
    <w:rsid w:val="0028442F"/>
    <w:rsid w:val="002844AD"/>
    <w:rsid w:val="002845CA"/>
    <w:rsid w:val="0028528D"/>
    <w:rsid w:val="00286415"/>
    <w:rsid w:val="00286819"/>
    <w:rsid w:val="00286959"/>
    <w:rsid w:val="00286D53"/>
    <w:rsid w:val="0028745C"/>
    <w:rsid w:val="0028795D"/>
    <w:rsid w:val="00287C19"/>
    <w:rsid w:val="00290743"/>
    <w:rsid w:val="00291E8D"/>
    <w:rsid w:val="00292272"/>
    <w:rsid w:val="00293159"/>
    <w:rsid w:val="00295365"/>
    <w:rsid w:val="00295991"/>
    <w:rsid w:val="0029662E"/>
    <w:rsid w:val="00297A3C"/>
    <w:rsid w:val="002A0C7D"/>
    <w:rsid w:val="002A3731"/>
    <w:rsid w:val="002A3ACC"/>
    <w:rsid w:val="002A3E8D"/>
    <w:rsid w:val="002A4672"/>
    <w:rsid w:val="002A4ECE"/>
    <w:rsid w:val="002A4EF0"/>
    <w:rsid w:val="002A5706"/>
    <w:rsid w:val="002A61E1"/>
    <w:rsid w:val="002A65EA"/>
    <w:rsid w:val="002A677D"/>
    <w:rsid w:val="002A7AD7"/>
    <w:rsid w:val="002A7FFE"/>
    <w:rsid w:val="002B11C1"/>
    <w:rsid w:val="002B1579"/>
    <w:rsid w:val="002B3683"/>
    <w:rsid w:val="002B44C0"/>
    <w:rsid w:val="002B51D2"/>
    <w:rsid w:val="002B66BF"/>
    <w:rsid w:val="002B6A7C"/>
    <w:rsid w:val="002C3442"/>
    <w:rsid w:val="002C3F77"/>
    <w:rsid w:val="002C4200"/>
    <w:rsid w:val="002C5EEF"/>
    <w:rsid w:val="002C74E6"/>
    <w:rsid w:val="002D085D"/>
    <w:rsid w:val="002D0CC0"/>
    <w:rsid w:val="002D1103"/>
    <w:rsid w:val="002D11B2"/>
    <w:rsid w:val="002D1C48"/>
    <w:rsid w:val="002D2B2A"/>
    <w:rsid w:val="002D5CFD"/>
    <w:rsid w:val="002D7FBA"/>
    <w:rsid w:val="002E006F"/>
    <w:rsid w:val="002E03FD"/>
    <w:rsid w:val="002E04E6"/>
    <w:rsid w:val="002E0530"/>
    <w:rsid w:val="002E0B4C"/>
    <w:rsid w:val="002E0F33"/>
    <w:rsid w:val="002E1A39"/>
    <w:rsid w:val="002E35B8"/>
    <w:rsid w:val="002E3DBE"/>
    <w:rsid w:val="002E552F"/>
    <w:rsid w:val="002F03F4"/>
    <w:rsid w:val="002F0D52"/>
    <w:rsid w:val="002F0F55"/>
    <w:rsid w:val="002F1AA4"/>
    <w:rsid w:val="002F2365"/>
    <w:rsid w:val="002F2525"/>
    <w:rsid w:val="002F3008"/>
    <w:rsid w:val="002F3D94"/>
    <w:rsid w:val="002F41A3"/>
    <w:rsid w:val="002F4FE8"/>
    <w:rsid w:val="002F7966"/>
    <w:rsid w:val="002F7EAB"/>
    <w:rsid w:val="00300470"/>
    <w:rsid w:val="0030295A"/>
    <w:rsid w:val="0030415C"/>
    <w:rsid w:val="003049CE"/>
    <w:rsid w:val="0030588E"/>
    <w:rsid w:val="00305C48"/>
    <w:rsid w:val="00305EB3"/>
    <w:rsid w:val="00305F58"/>
    <w:rsid w:val="00306666"/>
    <w:rsid w:val="003068E4"/>
    <w:rsid w:val="00306932"/>
    <w:rsid w:val="00306DAB"/>
    <w:rsid w:val="00307615"/>
    <w:rsid w:val="0030764B"/>
    <w:rsid w:val="003077F0"/>
    <w:rsid w:val="00310151"/>
    <w:rsid w:val="00311166"/>
    <w:rsid w:val="0031175E"/>
    <w:rsid w:val="00312614"/>
    <w:rsid w:val="003127A8"/>
    <w:rsid w:val="0031356C"/>
    <w:rsid w:val="003152BA"/>
    <w:rsid w:val="003156FE"/>
    <w:rsid w:val="0031615E"/>
    <w:rsid w:val="0031668C"/>
    <w:rsid w:val="00316E43"/>
    <w:rsid w:val="003172B2"/>
    <w:rsid w:val="00317E74"/>
    <w:rsid w:val="00320624"/>
    <w:rsid w:val="00321EA9"/>
    <w:rsid w:val="00325F92"/>
    <w:rsid w:val="00326CE3"/>
    <w:rsid w:val="003321A6"/>
    <w:rsid w:val="00333542"/>
    <w:rsid w:val="00333757"/>
    <w:rsid w:val="00333E5C"/>
    <w:rsid w:val="003369D7"/>
    <w:rsid w:val="0033701B"/>
    <w:rsid w:val="00337B7D"/>
    <w:rsid w:val="00340245"/>
    <w:rsid w:val="003408A3"/>
    <w:rsid w:val="00341148"/>
    <w:rsid w:val="003419FE"/>
    <w:rsid w:val="00342319"/>
    <w:rsid w:val="00344C2E"/>
    <w:rsid w:val="00345229"/>
    <w:rsid w:val="0034608D"/>
    <w:rsid w:val="003503E6"/>
    <w:rsid w:val="003505BD"/>
    <w:rsid w:val="00350779"/>
    <w:rsid w:val="00351209"/>
    <w:rsid w:val="00351687"/>
    <w:rsid w:val="0035194D"/>
    <w:rsid w:val="00351D28"/>
    <w:rsid w:val="003554EB"/>
    <w:rsid w:val="003562D8"/>
    <w:rsid w:val="00357E67"/>
    <w:rsid w:val="00363153"/>
    <w:rsid w:val="00363A42"/>
    <w:rsid w:val="00363D1E"/>
    <w:rsid w:val="00364012"/>
    <w:rsid w:val="0036485B"/>
    <w:rsid w:val="00366631"/>
    <w:rsid w:val="003700B5"/>
    <w:rsid w:val="0037035F"/>
    <w:rsid w:val="00370AD3"/>
    <w:rsid w:val="0037100D"/>
    <w:rsid w:val="003741F4"/>
    <w:rsid w:val="00374396"/>
    <w:rsid w:val="00375439"/>
    <w:rsid w:val="00377104"/>
    <w:rsid w:val="00377289"/>
    <w:rsid w:val="003812EC"/>
    <w:rsid w:val="003837CF"/>
    <w:rsid w:val="00384007"/>
    <w:rsid w:val="00384783"/>
    <w:rsid w:val="00384811"/>
    <w:rsid w:val="00385819"/>
    <w:rsid w:val="003864F6"/>
    <w:rsid w:val="0038719C"/>
    <w:rsid w:val="003874B4"/>
    <w:rsid w:val="0038795D"/>
    <w:rsid w:val="00387C68"/>
    <w:rsid w:val="0039020E"/>
    <w:rsid w:val="00390C6C"/>
    <w:rsid w:val="00391456"/>
    <w:rsid w:val="0039229E"/>
    <w:rsid w:val="003926F8"/>
    <w:rsid w:val="00393A90"/>
    <w:rsid w:val="00394558"/>
    <w:rsid w:val="00395677"/>
    <w:rsid w:val="0039624B"/>
    <w:rsid w:val="0039662B"/>
    <w:rsid w:val="003976F1"/>
    <w:rsid w:val="003A186F"/>
    <w:rsid w:val="003A2B92"/>
    <w:rsid w:val="003A2C53"/>
    <w:rsid w:val="003A30CD"/>
    <w:rsid w:val="003A4AD1"/>
    <w:rsid w:val="003A5384"/>
    <w:rsid w:val="003A6A16"/>
    <w:rsid w:val="003A6EEF"/>
    <w:rsid w:val="003A765F"/>
    <w:rsid w:val="003B19D2"/>
    <w:rsid w:val="003B2D53"/>
    <w:rsid w:val="003B30EB"/>
    <w:rsid w:val="003B3CEE"/>
    <w:rsid w:val="003B4E99"/>
    <w:rsid w:val="003B5C8B"/>
    <w:rsid w:val="003B609B"/>
    <w:rsid w:val="003C14C7"/>
    <w:rsid w:val="003C1B34"/>
    <w:rsid w:val="003C2446"/>
    <w:rsid w:val="003C3484"/>
    <w:rsid w:val="003C4BEB"/>
    <w:rsid w:val="003C581C"/>
    <w:rsid w:val="003C5D10"/>
    <w:rsid w:val="003C7F80"/>
    <w:rsid w:val="003D1574"/>
    <w:rsid w:val="003D16CC"/>
    <w:rsid w:val="003D3F38"/>
    <w:rsid w:val="003D48A9"/>
    <w:rsid w:val="003D4B37"/>
    <w:rsid w:val="003D4C5A"/>
    <w:rsid w:val="003D6269"/>
    <w:rsid w:val="003D7394"/>
    <w:rsid w:val="003D779C"/>
    <w:rsid w:val="003E148F"/>
    <w:rsid w:val="003E18F6"/>
    <w:rsid w:val="003E4EB8"/>
    <w:rsid w:val="003E4F4F"/>
    <w:rsid w:val="003E789C"/>
    <w:rsid w:val="003F06BC"/>
    <w:rsid w:val="003F0BF1"/>
    <w:rsid w:val="003F189E"/>
    <w:rsid w:val="003F1B5D"/>
    <w:rsid w:val="003F1EB0"/>
    <w:rsid w:val="003F2657"/>
    <w:rsid w:val="003F2A2A"/>
    <w:rsid w:val="003F3A1E"/>
    <w:rsid w:val="003F3A5A"/>
    <w:rsid w:val="003F4649"/>
    <w:rsid w:val="003F4E42"/>
    <w:rsid w:val="003F5724"/>
    <w:rsid w:val="003F579F"/>
    <w:rsid w:val="003F5E54"/>
    <w:rsid w:val="003F5FC4"/>
    <w:rsid w:val="003F659A"/>
    <w:rsid w:val="003F6996"/>
    <w:rsid w:val="003F6DBA"/>
    <w:rsid w:val="00400591"/>
    <w:rsid w:val="00400666"/>
    <w:rsid w:val="00400805"/>
    <w:rsid w:val="00400F0A"/>
    <w:rsid w:val="00402370"/>
    <w:rsid w:val="00402411"/>
    <w:rsid w:val="004040CC"/>
    <w:rsid w:val="00404DAD"/>
    <w:rsid w:val="00410468"/>
    <w:rsid w:val="00410848"/>
    <w:rsid w:val="00411707"/>
    <w:rsid w:val="00411CE1"/>
    <w:rsid w:val="00412333"/>
    <w:rsid w:val="0041286D"/>
    <w:rsid w:val="00413BDB"/>
    <w:rsid w:val="00414683"/>
    <w:rsid w:val="0041566D"/>
    <w:rsid w:val="0041639B"/>
    <w:rsid w:val="00417018"/>
    <w:rsid w:val="00417BC4"/>
    <w:rsid w:val="00420553"/>
    <w:rsid w:val="004209E3"/>
    <w:rsid w:val="004217A7"/>
    <w:rsid w:val="00421D0E"/>
    <w:rsid w:val="00422796"/>
    <w:rsid w:val="00423584"/>
    <w:rsid w:val="0042641F"/>
    <w:rsid w:val="0042698F"/>
    <w:rsid w:val="00427DC6"/>
    <w:rsid w:val="0043189E"/>
    <w:rsid w:val="00432038"/>
    <w:rsid w:val="00432884"/>
    <w:rsid w:val="00432FC7"/>
    <w:rsid w:val="00434A2A"/>
    <w:rsid w:val="0043503D"/>
    <w:rsid w:val="00435608"/>
    <w:rsid w:val="00436888"/>
    <w:rsid w:val="00436B6D"/>
    <w:rsid w:val="00441001"/>
    <w:rsid w:val="00441791"/>
    <w:rsid w:val="00441A43"/>
    <w:rsid w:val="00442315"/>
    <w:rsid w:val="004435D0"/>
    <w:rsid w:val="004438FE"/>
    <w:rsid w:val="00445D37"/>
    <w:rsid w:val="00445D82"/>
    <w:rsid w:val="00446341"/>
    <w:rsid w:val="00446ACF"/>
    <w:rsid w:val="0044740A"/>
    <w:rsid w:val="00447A34"/>
    <w:rsid w:val="00447B19"/>
    <w:rsid w:val="004501FA"/>
    <w:rsid w:val="00451794"/>
    <w:rsid w:val="00451A01"/>
    <w:rsid w:val="00452C7E"/>
    <w:rsid w:val="00452D63"/>
    <w:rsid w:val="00460770"/>
    <w:rsid w:val="00462BCB"/>
    <w:rsid w:val="00462C9B"/>
    <w:rsid w:val="00462E12"/>
    <w:rsid w:val="00463E19"/>
    <w:rsid w:val="00464DC2"/>
    <w:rsid w:val="00465AF8"/>
    <w:rsid w:val="00465DD6"/>
    <w:rsid w:val="00467612"/>
    <w:rsid w:val="00470E46"/>
    <w:rsid w:val="00472AE2"/>
    <w:rsid w:val="00474436"/>
    <w:rsid w:val="00477AC0"/>
    <w:rsid w:val="00480CFB"/>
    <w:rsid w:val="0048223A"/>
    <w:rsid w:val="00483312"/>
    <w:rsid w:val="004842C4"/>
    <w:rsid w:val="00484575"/>
    <w:rsid w:val="00485BD5"/>
    <w:rsid w:val="00485C31"/>
    <w:rsid w:val="004866B2"/>
    <w:rsid w:val="00486BD1"/>
    <w:rsid w:val="004906CC"/>
    <w:rsid w:val="00490BCB"/>
    <w:rsid w:val="00491545"/>
    <w:rsid w:val="0049265B"/>
    <w:rsid w:val="00493622"/>
    <w:rsid w:val="00493ED5"/>
    <w:rsid w:val="00494829"/>
    <w:rsid w:val="00494FE3"/>
    <w:rsid w:val="004971DD"/>
    <w:rsid w:val="004974F5"/>
    <w:rsid w:val="00497D40"/>
    <w:rsid w:val="004A1C6A"/>
    <w:rsid w:val="004A1C98"/>
    <w:rsid w:val="004A2851"/>
    <w:rsid w:val="004A2A4E"/>
    <w:rsid w:val="004A2F25"/>
    <w:rsid w:val="004A3DA4"/>
    <w:rsid w:val="004A6789"/>
    <w:rsid w:val="004A6B2E"/>
    <w:rsid w:val="004B2307"/>
    <w:rsid w:val="004B337C"/>
    <w:rsid w:val="004B46BA"/>
    <w:rsid w:val="004B5178"/>
    <w:rsid w:val="004B5FAE"/>
    <w:rsid w:val="004B6028"/>
    <w:rsid w:val="004B6FAC"/>
    <w:rsid w:val="004B7B32"/>
    <w:rsid w:val="004B7C13"/>
    <w:rsid w:val="004C1415"/>
    <w:rsid w:val="004C20A0"/>
    <w:rsid w:val="004C294F"/>
    <w:rsid w:val="004C4625"/>
    <w:rsid w:val="004C5859"/>
    <w:rsid w:val="004C6370"/>
    <w:rsid w:val="004C6971"/>
    <w:rsid w:val="004C77BA"/>
    <w:rsid w:val="004C7E6B"/>
    <w:rsid w:val="004D105C"/>
    <w:rsid w:val="004D111D"/>
    <w:rsid w:val="004D4157"/>
    <w:rsid w:val="004D49F6"/>
    <w:rsid w:val="004D5D31"/>
    <w:rsid w:val="004D6CDD"/>
    <w:rsid w:val="004D7430"/>
    <w:rsid w:val="004D751D"/>
    <w:rsid w:val="004D7BAC"/>
    <w:rsid w:val="004E1450"/>
    <w:rsid w:val="004E2460"/>
    <w:rsid w:val="004E3816"/>
    <w:rsid w:val="004E40BA"/>
    <w:rsid w:val="004E4E56"/>
    <w:rsid w:val="004E52CD"/>
    <w:rsid w:val="004E58CE"/>
    <w:rsid w:val="004F057A"/>
    <w:rsid w:val="004F0748"/>
    <w:rsid w:val="004F1DD7"/>
    <w:rsid w:val="004F3624"/>
    <w:rsid w:val="004F3FD6"/>
    <w:rsid w:val="004F4478"/>
    <w:rsid w:val="004F6715"/>
    <w:rsid w:val="004F74F6"/>
    <w:rsid w:val="004F7FB9"/>
    <w:rsid w:val="00500A9C"/>
    <w:rsid w:val="00500FA1"/>
    <w:rsid w:val="0050190C"/>
    <w:rsid w:val="00501B3A"/>
    <w:rsid w:val="00501FD3"/>
    <w:rsid w:val="00502D70"/>
    <w:rsid w:val="005041F9"/>
    <w:rsid w:val="00504212"/>
    <w:rsid w:val="005043AD"/>
    <w:rsid w:val="00504B4E"/>
    <w:rsid w:val="00504D14"/>
    <w:rsid w:val="00504F52"/>
    <w:rsid w:val="00505A7C"/>
    <w:rsid w:val="00506CFB"/>
    <w:rsid w:val="005078C3"/>
    <w:rsid w:val="00510C5D"/>
    <w:rsid w:val="0051110B"/>
    <w:rsid w:val="00513D1D"/>
    <w:rsid w:val="00513EC3"/>
    <w:rsid w:val="00514B54"/>
    <w:rsid w:val="00520AE2"/>
    <w:rsid w:val="00521148"/>
    <w:rsid w:val="005245BC"/>
    <w:rsid w:val="00524F69"/>
    <w:rsid w:val="00525198"/>
    <w:rsid w:val="00527800"/>
    <w:rsid w:val="00527C0E"/>
    <w:rsid w:val="00530711"/>
    <w:rsid w:val="00531F8A"/>
    <w:rsid w:val="00532F17"/>
    <w:rsid w:val="00532FE4"/>
    <w:rsid w:val="00533CE5"/>
    <w:rsid w:val="00534F0B"/>
    <w:rsid w:val="005359CE"/>
    <w:rsid w:val="00535FCC"/>
    <w:rsid w:val="005370C6"/>
    <w:rsid w:val="00540426"/>
    <w:rsid w:val="00540E26"/>
    <w:rsid w:val="00542841"/>
    <w:rsid w:val="005443AF"/>
    <w:rsid w:val="00544EF3"/>
    <w:rsid w:val="00545A41"/>
    <w:rsid w:val="005465BE"/>
    <w:rsid w:val="00546A74"/>
    <w:rsid w:val="00547AC7"/>
    <w:rsid w:val="005516CB"/>
    <w:rsid w:val="0055197A"/>
    <w:rsid w:val="00551C05"/>
    <w:rsid w:val="00551F43"/>
    <w:rsid w:val="00552B4C"/>
    <w:rsid w:val="00553257"/>
    <w:rsid w:val="00555740"/>
    <w:rsid w:val="005558CA"/>
    <w:rsid w:val="005565E9"/>
    <w:rsid w:val="00556845"/>
    <w:rsid w:val="00556B13"/>
    <w:rsid w:val="00557000"/>
    <w:rsid w:val="00557BE7"/>
    <w:rsid w:val="00557F78"/>
    <w:rsid w:val="005601E6"/>
    <w:rsid w:val="00560B36"/>
    <w:rsid w:val="00560DAA"/>
    <w:rsid w:val="0056657C"/>
    <w:rsid w:val="00566DB0"/>
    <w:rsid w:val="00566F73"/>
    <w:rsid w:val="005673D0"/>
    <w:rsid w:val="005701B2"/>
    <w:rsid w:val="00570F16"/>
    <w:rsid w:val="005718FA"/>
    <w:rsid w:val="005719A4"/>
    <w:rsid w:val="005730CF"/>
    <w:rsid w:val="005732BD"/>
    <w:rsid w:val="005733C6"/>
    <w:rsid w:val="005736AE"/>
    <w:rsid w:val="0057393B"/>
    <w:rsid w:val="005754B3"/>
    <w:rsid w:val="00575B83"/>
    <w:rsid w:val="005762B7"/>
    <w:rsid w:val="00576363"/>
    <w:rsid w:val="00577281"/>
    <w:rsid w:val="0057754A"/>
    <w:rsid w:val="00577D73"/>
    <w:rsid w:val="00580A00"/>
    <w:rsid w:val="005812EB"/>
    <w:rsid w:val="00583092"/>
    <w:rsid w:val="00584219"/>
    <w:rsid w:val="0058526D"/>
    <w:rsid w:val="0058555C"/>
    <w:rsid w:val="005859BB"/>
    <w:rsid w:val="00585CA1"/>
    <w:rsid w:val="00587118"/>
    <w:rsid w:val="00587207"/>
    <w:rsid w:val="005874A5"/>
    <w:rsid w:val="00587FB8"/>
    <w:rsid w:val="00592196"/>
    <w:rsid w:val="00593588"/>
    <w:rsid w:val="00594F51"/>
    <w:rsid w:val="00595ADC"/>
    <w:rsid w:val="00595BF1"/>
    <w:rsid w:val="00597E8D"/>
    <w:rsid w:val="005A0228"/>
    <w:rsid w:val="005A0320"/>
    <w:rsid w:val="005A0F04"/>
    <w:rsid w:val="005A1CFB"/>
    <w:rsid w:val="005A1D78"/>
    <w:rsid w:val="005A2419"/>
    <w:rsid w:val="005A3FB4"/>
    <w:rsid w:val="005A41DA"/>
    <w:rsid w:val="005A4AC9"/>
    <w:rsid w:val="005A50A0"/>
    <w:rsid w:val="005A73C9"/>
    <w:rsid w:val="005B1A89"/>
    <w:rsid w:val="005B29CC"/>
    <w:rsid w:val="005B3514"/>
    <w:rsid w:val="005B3EB3"/>
    <w:rsid w:val="005B5A6E"/>
    <w:rsid w:val="005B5E2C"/>
    <w:rsid w:val="005B5E8E"/>
    <w:rsid w:val="005B64D9"/>
    <w:rsid w:val="005B64DD"/>
    <w:rsid w:val="005B69E0"/>
    <w:rsid w:val="005B6FE4"/>
    <w:rsid w:val="005B737E"/>
    <w:rsid w:val="005B7778"/>
    <w:rsid w:val="005C057F"/>
    <w:rsid w:val="005C169A"/>
    <w:rsid w:val="005C227D"/>
    <w:rsid w:val="005C451C"/>
    <w:rsid w:val="005C5E5B"/>
    <w:rsid w:val="005C7681"/>
    <w:rsid w:val="005D1AA3"/>
    <w:rsid w:val="005D464B"/>
    <w:rsid w:val="005D5034"/>
    <w:rsid w:val="005D72EE"/>
    <w:rsid w:val="005D7DF3"/>
    <w:rsid w:val="005E054D"/>
    <w:rsid w:val="005E11F5"/>
    <w:rsid w:val="005E259A"/>
    <w:rsid w:val="005E3A0E"/>
    <w:rsid w:val="005E64B0"/>
    <w:rsid w:val="005E7723"/>
    <w:rsid w:val="005E7890"/>
    <w:rsid w:val="005E79B9"/>
    <w:rsid w:val="005E7AC7"/>
    <w:rsid w:val="005F0927"/>
    <w:rsid w:val="005F23F1"/>
    <w:rsid w:val="005F29DC"/>
    <w:rsid w:val="005F2BA2"/>
    <w:rsid w:val="005F3EAE"/>
    <w:rsid w:val="005F4918"/>
    <w:rsid w:val="005F4AA7"/>
    <w:rsid w:val="005F5078"/>
    <w:rsid w:val="005F5F25"/>
    <w:rsid w:val="005F67F5"/>
    <w:rsid w:val="005F6E7C"/>
    <w:rsid w:val="005F757E"/>
    <w:rsid w:val="0060169D"/>
    <w:rsid w:val="00601FB9"/>
    <w:rsid w:val="00602461"/>
    <w:rsid w:val="00604CE1"/>
    <w:rsid w:val="00605058"/>
    <w:rsid w:val="0060557C"/>
    <w:rsid w:val="00605D03"/>
    <w:rsid w:val="00605D66"/>
    <w:rsid w:val="0060666A"/>
    <w:rsid w:val="00610571"/>
    <w:rsid w:val="00611D1D"/>
    <w:rsid w:val="00612D1C"/>
    <w:rsid w:val="00612DB6"/>
    <w:rsid w:val="00614CDD"/>
    <w:rsid w:val="006151E2"/>
    <w:rsid w:val="00616377"/>
    <w:rsid w:val="006168E1"/>
    <w:rsid w:val="00616BD5"/>
    <w:rsid w:val="006206A1"/>
    <w:rsid w:val="0062148A"/>
    <w:rsid w:val="006214D5"/>
    <w:rsid w:val="00621514"/>
    <w:rsid w:val="0062383F"/>
    <w:rsid w:val="00623E3E"/>
    <w:rsid w:val="00623EAB"/>
    <w:rsid w:val="00625DD0"/>
    <w:rsid w:val="00626307"/>
    <w:rsid w:val="0062635C"/>
    <w:rsid w:val="006265B3"/>
    <w:rsid w:val="00626D7D"/>
    <w:rsid w:val="00631193"/>
    <w:rsid w:val="00631265"/>
    <w:rsid w:val="0063202C"/>
    <w:rsid w:val="00633EE7"/>
    <w:rsid w:val="006344E6"/>
    <w:rsid w:val="0063498C"/>
    <w:rsid w:val="00634BB7"/>
    <w:rsid w:val="00634BCB"/>
    <w:rsid w:val="00635440"/>
    <w:rsid w:val="0063616F"/>
    <w:rsid w:val="006366F7"/>
    <w:rsid w:val="0063689C"/>
    <w:rsid w:val="00636B37"/>
    <w:rsid w:val="00637367"/>
    <w:rsid w:val="006373D8"/>
    <w:rsid w:val="0063753E"/>
    <w:rsid w:val="00640013"/>
    <w:rsid w:val="00640665"/>
    <w:rsid w:val="00642C11"/>
    <w:rsid w:val="00643AB7"/>
    <w:rsid w:val="00643C0E"/>
    <w:rsid w:val="00644AD8"/>
    <w:rsid w:val="00644CFD"/>
    <w:rsid w:val="006507A9"/>
    <w:rsid w:val="00650AD3"/>
    <w:rsid w:val="00650BE8"/>
    <w:rsid w:val="00651192"/>
    <w:rsid w:val="00652A07"/>
    <w:rsid w:val="00652E0F"/>
    <w:rsid w:val="006531B8"/>
    <w:rsid w:val="0065337F"/>
    <w:rsid w:val="006534E2"/>
    <w:rsid w:val="00653C39"/>
    <w:rsid w:val="00653E64"/>
    <w:rsid w:val="00655352"/>
    <w:rsid w:val="00655C9F"/>
    <w:rsid w:val="00656433"/>
    <w:rsid w:val="00656D33"/>
    <w:rsid w:val="00657EEE"/>
    <w:rsid w:val="006618CA"/>
    <w:rsid w:val="00661D4D"/>
    <w:rsid w:val="00663BA8"/>
    <w:rsid w:val="0066752E"/>
    <w:rsid w:val="00667712"/>
    <w:rsid w:val="00667E43"/>
    <w:rsid w:val="00670117"/>
    <w:rsid w:val="00670763"/>
    <w:rsid w:val="00671BD2"/>
    <w:rsid w:val="00671C14"/>
    <w:rsid w:val="00672E84"/>
    <w:rsid w:val="0067303B"/>
    <w:rsid w:val="006745AB"/>
    <w:rsid w:val="00674FC4"/>
    <w:rsid w:val="0067560B"/>
    <w:rsid w:val="00675EC4"/>
    <w:rsid w:val="006768B1"/>
    <w:rsid w:val="0067784B"/>
    <w:rsid w:val="00677BA1"/>
    <w:rsid w:val="00677F59"/>
    <w:rsid w:val="006803CC"/>
    <w:rsid w:val="006812A1"/>
    <w:rsid w:val="00682708"/>
    <w:rsid w:val="0068375E"/>
    <w:rsid w:val="006839E1"/>
    <w:rsid w:val="00684190"/>
    <w:rsid w:val="00684527"/>
    <w:rsid w:val="006856FE"/>
    <w:rsid w:val="00686462"/>
    <w:rsid w:val="00687423"/>
    <w:rsid w:val="00687B32"/>
    <w:rsid w:val="00690ED2"/>
    <w:rsid w:val="00691754"/>
    <w:rsid w:val="00691C29"/>
    <w:rsid w:val="00692701"/>
    <w:rsid w:val="00694166"/>
    <w:rsid w:val="006943B5"/>
    <w:rsid w:val="00695240"/>
    <w:rsid w:val="00695BFD"/>
    <w:rsid w:val="00695F4B"/>
    <w:rsid w:val="006A0E3F"/>
    <w:rsid w:val="006A10EA"/>
    <w:rsid w:val="006A23EF"/>
    <w:rsid w:val="006A3499"/>
    <w:rsid w:val="006A50BE"/>
    <w:rsid w:val="006A566F"/>
    <w:rsid w:val="006A620E"/>
    <w:rsid w:val="006A78C9"/>
    <w:rsid w:val="006A7AE8"/>
    <w:rsid w:val="006B199D"/>
    <w:rsid w:val="006B1A34"/>
    <w:rsid w:val="006B23BE"/>
    <w:rsid w:val="006B2CB7"/>
    <w:rsid w:val="006B4680"/>
    <w:rsid w:val="006B4EBC"/>
    <w:rsid w:val="006B66EE"/>
    <w:rsid w:val="006B6D0F"/>
    <w:rsid w:val="006B7145"/>
    <w:rsid w:val="006B75B0"/>
    <w:rsid w:val="006B7F73"/>
    <w:rsid w:val="006C1839"/>
    <w:rsid w:val="006C24E1"/>
    <w:rsid w:val="006C2C80"/>
    <w:rsid w:val="006C2D30"/>
    <w:rsid w:val="006C567B"/>
    <w:rsid w:val="006C5FEA"/>
    <w:rsid w:val="006C69EF"/>
    <w:rsid w:val="006C7A63"/>
    <w:rsid w:val="006D04ED"/>
    <w:rsid w:val="006D1535"/>
    <w:rsid w:val="006D169B"/>
    <w:rsid w:val="006D1781"/>
    <w:rsid w:val="006D1BB3"/>
    <w:rsid w:val="006D2687"/>
    <w:rsid w:val="006D3261"/>
    <w:rsid w:val="006D437B"/>
    <w:rsid w:val="006D446A"/>
    <w:rsid w:val="006D480A"/>
    <w:rsid w:val="006D5C4B"/>
    <w:rsid w:val="006E0236"/>
    <w:rsid w:val="006E06F2"/>
    <w:rsid w:val="006E24E9"/>
    <w:rsid w:val="006E277B"/>
    <w:rsid w:val="006E313B"/>
    <w:rsid w:val="006E39B9"/>
    <w:rsid w:val="006E3D31"/>
    <w:rsid w:val="006E4A6E"/>
    <w:rsid w:val="006E574E"/>
    <w:rsid w:val="006E640F"/>
    <w:rsid w:val="006E67E6"/>
    <w:rsid w:val="006E6E60"/>
    <w:rsid w:val="006E708E"/>
    <w:rsid w:val="006F0193"/>
    <w:rsid w:val="006F115A"/>
    <w:rsid w:val="006F2D5D"/>
    <w:rsid w:val="006F36AF"/>
    <w:rsid w:val="006F3934"/>
    <w:rsid w:val="006F4073"/>
    <w:rsid w:val="006F50A2"/>
    <w:rsid w:val="006F57AF"/>
    <w:rsid w:val="006F64C7"/>
    <w:rsid w:val="00700DAD"/>
    <w:rsid w:val="00702CF8"/>
    <w:rsid w:val="007037B7"/>
    <w:rsid w:val="00704A6F"/>
    <w:rsid w:val="00705C1D"/>
    <w:rsid w:val="00706E1C"/>
    <w:rsid w:val="00710073"/>
    <w:rsid w:val="00712BC6"/>
    <w:rsid w:val="00713351"/>
    <w:rsid w:val="007133F1"/>
    <w:rsid w:val="00714570"/>
    <w:rsid w:val="0071479C"/>
    <w:rsid w:val="007147A0"/>
    <w:rsid w:val="007153D4"/>
    <w:rsid w:val="00715EED"/>
    <w:rsid w:val="00716DC3"/>
    <w:rsid w:val="0071713B"/>
    <w:rsid w:val="00717FE0"/>
    <w:rsid w:val="00720281"/>
    <w:rsid w:val="00720802"/>
    <w:rsid w:val="007209DF"/>
    <w:rsid w:val="00721BAD"/>
    <w:rsid w:val="00723C65"/>
    <w:rsid w:val="00724BCA"/>
    <w:rsid w:val="007262F9"/>
    <w:rsid w:val="00726F6E"/>
    <w:rsid w:val="00727058"/>
    <w:rsid w:val="007305C0"/>
    <w:rsid w:val="00730601"/>
    <w:rsid w:val="00732C43"/>
    <w:rsid w:val="00734A70"/>
    <w:rsid w:val="00735175"/>
    <w:rsid w:val="007365F2"/>
    <w:rsid w:val="00736A56"/>
    <w:rsid w:val="00737099"/>
    <w:rsid w:val="007402F9"/>
    <w:rsid w:val="0074066A"/>
    <w:rsid w:val="00740BD9"/>
    <w:rsid w:val="007418CD"/>
    <w:rsid w:val="00741DCF"/>
    <w:rsid w:val="00742E25"/>
    <w:rsid w:val="0074391D"/>
    <w:rsid w:val="00743FE7"/>
    <w:rsid w:val="007444A3"/>
    <w:rsid w:val="00744A05"/>
    <w:rsid w:val="007452D1"/>
    <w:rsid w:val="00745DA8"/>
    <w:rsid w:val="007469EE"/>
    <w:rsid w:val="00750015"/>
    <w:rsid w:val="0075044C"/>
    <w:rsid w:val="007504B3"/>
    <w:rsid w:val="007508BF"/>
    <w:rsid w:val="00750C83"/>
    <w:rsid w:val="00751017"/>
    <w:rsid w:val="00751539"/>
    <w:rsid w:val="0075176B"/>
    <w:rsid w:val="00751F3B"/>
    <w:rsid w:val="00752311"/>
    <w:rsid w:val="00752479"/>
    <w:rsid w:val="00755021"/>
    <w:rsid w:val="00756F12"/>
    <w:rsid w:val="007575A7"/>
    <w:rsid w:val="00757C24"/>
    <w:rsid w:val="00757D2D"/>
    <w:rsid w:val="00760805"/>
    <w:rsid w:val="007612DD"/>
    <w:rsid w:val="0076269B"/>
    <w:rsid w:val="00763355"/>
    <w:rsid w:val="00763CAA"/>
    <w:rsid w:val="00763DEC"/>
    <w:rsid w:val="0076557D"/>
    <w:rsid w:val="007658CA"/>
    <w:rsid w:val="00765F35"/>
    <w:rsid w:val="00766498"/>
    <w:rsid w:val="007669A1"/>
    <w:rsid w:val="0076705C"/>
    <w:rsid w:val="007678C3"/>
    <w:rsid w:val="007726C8"/>
    <w:rsid w:val="00772B88"/>
    <w:rsid w:val="007745C8"/>
    <w:rsid w:val="007763C1"/>
    <w:rsid w:val="0077667D"/>
    <w:rsid w:val="00776E8C"/>
    <w:rsid w:val="00777107"/>
    <w:rsid w:val="007805BB"/>
    <w:rsid w:val="00780814"/>
    <w:rsid w:val="007828A3"/>
    <w:rsid w:val="00783BBE"/>
    <w:rsid w:val="00783E8D"/>
    <w:rsid w:val="00787024"/>
    <w:rsid w:val="00787611"/>
    <w:rsid w:val="00787A9E"/>
    <w:rsid w:val="00790D09"/>
    <w:rsid w:val="0079191F"/>
    <w:rsid w:val="0079206D"/>
    <w:rsid w:val="00793B17"/>
    <w:rsid w:val="007948EF"/>
    <w:rsid w:val="00795A23"/>
    <w:rsid w:val="00795DA9"/>
    <w:rsid w:val="00795F31"/>
    <w:rsid w:val="007967B3"/>
    <w:rsid w:val="00796C04"/>
    <w:rsid w:val="007972C6"/>
    <w:rsid w:val="007978BA"/>
    <w:rsid w:val="007A0014"/>
    <w:rsid w:val="007A042C"/>
    <w:rsid w:val="007A1398"/>
    <w:rsid w:val="007A1490"/>
    <w:rsid w:val="007A21DF"/>
    <w:rsid w:val="007A26EE"/>
    <w:rsid w:val="007A2CD5"/>
    <w:rsid w:val="007A3161"/>
    <w:rsid w:val="007A3B51"/>
    <w:rsid w:val="007A3B55"/>
    <w:rsid w:val="007A4357"/>
    <w:rsid w:val="007A50D7"/>
    <w:rsid w:val="007A6855"/>
    <w:rsid w:val="007A6FC4"/>
    <w:rsid w:val="007A700D"/>
    <w:rsid w:val="007A78A1"/>
    <w:rsid w:val="007B0F78"/>
    <w:rsid w:val="007B18DF"/>
    <w:rsid w:val="007B2837"/>
    <w:rsid w:val="007B30F7"/>
    <w:rsid w:val="007B33E1"/>
    <w:rsid w:val="007B47C7"/>
    <w:rsid w:val="007B483F"/>
    <w:rsid w:val="007B5AE6"/>
    <w:rsid w:val="007B5B95"/>
    <w:rsid w:val="007B6D47"/>
    <w:rsid w:val="007B70B0"/>
    <w:rsid w:val="007B7928"/>
    <w:rsid w:val="007B79B4"/>
    <w:rsid w:val="007B7F27"/>
    <w:rsid w:val="007C0273"/>
    <w:rsid w:val="007C0A1C"/>
    <w:rsid w:val="007C172B"/>
    <w:rsid w:val="007C17A1"/>
    <w:rsid w:val="007C1B5D"/>
    <w:rsid w:val="007C1FFC"/>
    <w:rsid w:val="007C31B8"/>
    <w:rsid w:val="007C394B"/>
    <w:rsid w:val="007C3FA7"/>
    <w:rsid w:val="007C4EA4"/>
    <w:rsid w:val="007C6CBA"/>
    <w:rsid w:val="007D23A3"/>
    <w:rsid w:val="007D2D26"/>
    <w:rsid w:val="007D79BC"/>
    <w:rsid w:val="007E02C5"/>
    <w:rsid w:val="007E1428"/>
    <w:rsid w:val="007E17E1"/>
    <w:rsid w:val="007E3436"/>
    <w:rsid w:val="007E3887"/>
    <w:rsid w:val="007E4513"/>
    <w:rsid w:val="007E4C29"/>
    <w:rsid w:val="007E4EDA"/>
    <w:rsid w:val="007E51FA"/>
    <w:rsid w:val="007E5DDF"/>
    <w:rsid w:val="007E76E5"/>
    <w:rsid w:val="007E76FB"/>
    <w:rsid w:val="007E78FB"/>
    <w:rsid w:val="007F1E0B"/>
    <w:rsid w:val="007F2468"/>
    <w:rsid w:val="007F3476"/>
    <w:rsid w:val="007F3BB3"/>
    <w:rsid w:val="007F4620"/>
    <w:rsid w:val="007F66B6"/>
    <w:rsid w:val="007F762C"/>
    <w:rsid w:val="007F77DE"/>
    <w:rsid w:val="007F79F6"/>
    <w:rsid w:val="00802E2C"/>
    <w:rsid w:val="008034D9"/>
    <w:rsid w:val="00803534"/>
    <w:rsid w:val="008035FD"/>
    <w:rsid w:val="00804805"/>
    <w:rsid w:val="008048F6"/>
    <w:rsid w:val="00805869"/>
    <w:rsid w:val="00805DE9"/>
    <w:rsid w:val="00806269"/>
    <w:rsid w:val="008074E0"/>
    <w:rsid w:val="00807633"/>
    <w:rsid w:val="00812080"/>
    <w:rsid w:val="00813C3B"/>
    <w:rsid w:val="00814133"/>
    <w:rsid w:val="00814B72"/>
    <w:rsid w:val="008150F9"/>
    <w:rsid w:val="0081596A"/>
    <w:rsid w:val="00816C1B"/>
    <w:rsid w:val="00817FA8"/>
    <w:rsid w:val="008222F4"/>
    <w:rsid w:val="008243CA"/>
    <w:rsid w:val="008247FF"/>
    <w:rsid w:val="00826BA7"/>
    <w:rsid w:val="0082760F"/>
    <w:rsid w:val="00827BA5"/>
    <w:rsid w:val="0083052F"/>
    <w:rsid w:val="008311F5"/>
    <w:rsid w:val="00832E3A"/>
    <w:rsid w:val="00835117"/>
    <w:rsid w:val="0083548F"/>
    <w:rsid w:val="00835972"/>
    <w:rsid w:val="008401A5"/>
    <w:rsid w:val="008410ED"/>
    <w:rsid w:val="00842D4B"/>
    <w:rsid w:val="00845977"/>
    <w:rsid w:val="00845FD1"/>
    <w:rsid w:val="0084758F"/>
    <w:rsid w:val="00850F82"/>
    <w:rsid w:val="00851171"/>
    <w:rsid w:val="00851226"/>
    <w:rsid w:val="00851985"/>
    <w:rsid w:val="00853AFF"/>
    <w:rsid w:val="00853DB6"/>
    <w:rsid w:val="00853ED7"/>
    <w:rsid w:val="00854DE4"/>
    <w:rsid w:val="00854F31"/>
    <w:rsid w:val="008561E8"/>
    <w:rsid w:val="00857287"/>
    <w:rsid w:val="00860C6E"/>
    <w:rsid w:val="008612C8"/>
    <w:rsid w:val="00861B3F"/>
    <w:rsid w:val="00863516"/>
    <w:rsid w:val="00864B39"/>
    <w:rsid w:val="00865FC4"/>
    <w:rsid w:val="00870A0C"/>
    <w:rsid w:val="00871806"/>
    <w:rsid w:val="00871F1F"/>
    <w:rsid w:val="008727A1"/>
    <w:rsid w:val="00873F33"/>
    <w:rsid w:val="0087472B"/>
    <w:rsid w:val="0087543C"/>
    <w:rsid w:val="0087566F"/>
    <w:rsid w:val="008772A8"/>
    <w:rsid w:val="008809C0"/>
    <w:rsid w:val="0088151A"/>
    <w:rsid w:val="0088167C"/>
    <w:rsid w:val="00882201"/>
    <w:rsid w:val="008828A6"/>
    <w:rsid w:val="00883B79"/>
    <w:rsid w:val="00884168"/>
    <w:rsid w:val="008844D3"/>
    <w:rsid w:val="00884FE7"/>
    <w:rsid w:val="00885B63"/>
    <w:rsid w:val="00887451"/>
    <w:rsid w:val="008900F1"/>
    <w:rsid w:val="00890ECA"/>
    <w:rsid w:val="00894447"/>
    <w:rsid w:val="0089561C"/>
    <w:rsid w:val="00895A3C"/>
    <w:rsid w:val="00896A83"/>
    <w:rsid w:val="00896C93"/>
    <w:rsid w:val="00897290"/>
    <w:rsid w:val="00897B41"/>
    <w:rsid w:val="008A0235"/>
    <w:rsid w:val="008A1339"/>
    <w:rsid w:val="008A3869"/>
    <w:rsid w:val="008A4091"/>
    <w:rsid w:val="008A47C1"/>
    <w:rsid w:val="008A5050"/>
    <w:rsid w:val="008A5DCA"/>
    <w:rsid w:val="008B0509"/>
    <w:rsid w:val="008B0AFC"/>
    <w:rsid w:val="008B118B"/>
    <w:rsid w:val="008B24BE"/>
    <w:rsid w:val="008B52F2"/>
    <w:rsid w:val="008B5625"/>
    <w:rsid w:val="008B722A"/>
    <w:rsid w:val="008C0145"/>
    <w:rsid w:val="008C2675"/>
    <w:rsid w:val="008C3480"/>
    <w:rsid w:val="008C4194"/>
    <w:rsid w:val="008C4398"/>
    <w:rsid w:val="008C49C7"/>
    <w:rsid w:val="008C4EAF"/>
    <w:rsid w:val="008C5757"/>
    <w:rsid w:val="008C6350"/>
    <w:rsid w:val="008C6F9B"/>
    <w:rsid w:val="008C72D8"/>
    <w:rsid w:val="008C76DC"/>
    <w:rsid w:val="008C7EA7"/>
    <w:rsid w:val="008D1FAE"/>
    <w:rsid w:val="008D243B"/>
    <w:rsid w:val="008D3009"/>
    <w:rsid w:val="008D3922"/>
    <w:rsid w:val="008D3EB6"/>
    <w:rsid w:val="008D5864"/>
    <w:rsid w:val="008D6546"/>
    <w:rsid w:val="008D6B63"/>
    <w:rsid w:val="008D725F"/>
    <w:rsid w:val="008D7A77"/>
    <w:rsid w:val="008E0EF1"/>
    <w:rsid w:val="008E129C"/>
    <w:rsid w:val="008E3954"/>
    <w:rsid w:val="008E41BA"/>
    <w:rsid w:val="008E4236"/>
    <w:rsid w:val="008E4B57"/>
    <w:rsid w:val="008E6955"/>
    <w:rsid w:val="008E7226"/>
    <w:rsid w:val="008E744F"/>
    <w:rsid w:val="008F19E6"/>
    <w:rsid w:val="008F24E3"/>
    <w:rsid w:val="008F4922"/>
    <w:rsid w:val="008F4D47"/>
    <w:rsid w:val="008F64A9"/>
    <w:rsid w:val="008F73A1"/>
    <w:rsid w:val="0090005F"/>
    <w:rsid w:val="00900160"/>
    <w:rsid w:val="00900D83"/>
    <w:rsid w:val="00901453"/>
    <w:rsid w:val="009031A6"/>
    <w:rsid w:val="00903224"/>
    <w:rsid w:val="00903B0F"/>
    <w:rsid w:val="00903D10"/>
    <w:rsid w:val="00904E4C"/>
    <w:rsid w:val="009069D9"/>
    <w:rsid w:val="00906CA9"/>
    <w:rsid w:val="00910610"/>
    <w:rsid w:val="009110A8"/>
    <w:rsid w:val="009125A9"/>
    <w:rsid w:val="009133C3"/>
    <w:rsid w:val="00914573"/>
    <w:rsid w:val="0091488A"/>
    <w:rsid w:val="00914F5E"/>
    <w:rsid w:val="009151AE"/>
    <w:rsid w:val="009155FB"/>
    <w:rsid w:val="0091671D"/>
    <w:rsid w:val="00917B05"/>
    <w:rsid w:val="00920613"/>
    <w:rsid w:val="009207D4"/>
    <w:rsid w:val="00924266"/>
    <w:rsid w:val="00924BD5"/>
    <w:rsid w:val="0092591C"/>
    <w:rsid w:val="00925F8C"/>
    <w:rsid w:val="009277A8"/>
    <w:rsid w:val="00927DA9"/>
    <w:rsid w:val="009307AC"/>
    <w:rsid w:val="00931798"/>
    <w:rsid w:val="009321EF"/>
    <w:rsid w:val="00933152"/>
    <w:rsid w:val="0093346D"/>
    <w:rsid w:val="0093615A"/>
    <w:rsid w:val="00937245"/>
    <w:rsid w:val="00941262"/>
    <w:rsid w:val="009418A5"/>
    <w:rsid w:val="009426B7"/>
    <w:rsid w:val="009427E1"/>
    <w:rsid w:val="00942DF2"/>
    <w:rsid w:val="0094407B"/>
    <w:rsid w:val="00946AFF"/>
    <w:rsid w:val="009470A1"/>
    <w:rsid w:val="00947AAA"/>
    <w:rsid w:val="00951184"/>
    <w:rsid w:val="00951A29"/>
    <w:rsid w:val="00951F9B"/>
    <w:rsid w:val="00952AED"/>
    <w:rsid w:val="00952DAD"/>
    <w:rsid w:val="00954611"/>
    <w:rsid w:val="00955C73"/>
    <w:rsid w:val="00955F52"/>
    <w:rsid w:val="009573C3"/>
    <w:rsid w:val="00957A68"/>
    <w:rsid w:val="009600FF"/>
    <w:rsid w:val="00960454"/>
    <w:rsid w:val="00961B42"/>
    <w:rsid w:val="009640D2"/>
    <w:rsid w:val="00964B2B"/>
    <w:rsid w:val="00964E20"/>
    <w:rsid w:val="009652D6"/>
    <w:rsid w:val="00966BDF"/>
    <w:rsid w:val="00966DEB"/>
    <w:rsid w:val="00970B7D"/>
    <w:rsid w:val="009714CD"/>
    <w:rsid w:val="0097188B"/>
    <w:rsid w:val="00973E91"/>
    <w:rsid w:val="0097411B"/>
    <w:rsid w:val="00974413"/>
    <w:rsid w:val="0097481A"/>
    <w:rsid w:val="0097638B"/>
    <w:rsid w:val="00977711"/>
    <w:rsid w:val="00977F98"/>
    <w:rsid w:val="00981050"/>
    <w:rsid w:val="0098172F"/>
    <w:rsid w:val="0098437E"/>
    <w:rsid w:val="00985517"/>
    <w:rsid w:val="009866F0"/>
    <w:rsid w:val="0098703F"/>
    <w:rsid w:val="0098739F"/>
    <w:rsid w:val="00987B33"/>
    <w:rsid w:val="00987D09"/>
    <w:rsid w:val="00987F0A"/>
    <w:rsid w:val="00990405"/>
    <w:rsid w:val="00991A4F"/>
    <w:rsid w:val="0099246B"/>
    <w:rsid w:val="009925A3"/>
    <w:rsid w:val="0099389C"/>
    <w:rsid w:val="00993BFE"/>
    <w:rsid w:val="00994AA0"/>
    <w:rsid w:val="00994D40"/>
    <w:rsid w:val="009965A9"/>
    <w:rsid w:val="00996A4F"/>
    <w:rsid w:val="009A0C30"/>
    <w:rsid w:val="009A0D3D"/>
    <w:rsid w:val="009A0DCC"/>
    <w:rsid w:val="009A254C"/>
    <w:rsid w:val="009A2865"/>
    <w:rsid w:val="009A29E0"/>
    <w:rsid w:val="009A2FDB"/>
    <w:rsid w:val="009A33CC"/>
    <w:rsid w:val="009A3D22"/>
    <w:rsid w:val="009A55EB"/>
    <w:rsid w:val="009A66D5"/>
    <w:rsid w:val="009A66E7"/>
    <w:rsid w:val="009A6877"/>
    <w:rsid w:val="009A72E5"/>
    <w:rsid w:val="009A7D76"/>
    <w:rsid w:val="009B0E42"/>
    <w:rsid w:val="009B1995"/>
    <w:rsid w:val="009B2D5C"/>
    <w:rsid w:val="009B44EA"/>
    <w:rsid w:val="009B62F2"/>
    <w:rsid w:val="009B632B"/>
    <w:rsid w:val="009B6AD1"/>
    <w:rsid w:val="009B6D70"/>
    <w:rsid w:val="009C0963"/>
    <w:rsid w:val="009C232E"/>
    <w:rsid w:val="009C2747"/>
    <w:rsid w:val="009C4258"/>
    <w:rsid w:val="009C4B63"/>
    <w:rsid w:val="009C52BB"/>
    <w:rsid w:val="009C5B21"/>
    <w:rsid w:val="009C6570"/>
    <w:rsid w:val="009C73C0"/>
    <w:rsid w:val="009C7D88"/>
    <w:rsid w:val="009D2B00"/>
    <w:rsid w:val="009D3B6D"/>
    <w:rsid w:val="009D3E53"/>
    <w:rsid w:val="009D4A66"/>
    <w:rsid w:val="009D5EA3"/>
    <w:rsid w:val="009D704F"/>
    <w:rsid w:val="009D7612"/>
    <w:rsid w:val="009E03A5"/>
    <w:rsid w:val="009E062E"/>
    <w:rsid w:val="009E160B"/>
    <w:rsid w:val="009E1FAE"/>
    <w:rsid w:val="009E2178"/>
    <w:rsid w:val="009E46C4"/>
    <w:rsid w:val="009E5302"/>
    <w:rsid w:val="009E6D05"/>
    <w:rsid w:val="009E7418"/>
    <w:rsid w:val="009E748A"/>
    <w:rsid w:val="009E7A61"/>
    <w:rsid w:val="009F04BE"/>
    <w:rsid w:val="009F1A9E"/>
    <w:rsid w:val="009F1B63"/>
    <w:rsid w:val="009F238E"/>
    <w:rsid w:val="009F2949"/>
    <w:rsid w:val="009F2F38"/>
    <w:rsid w:val="009F3181"/>
    <w:rsid w:val="009F35F3"/>
    <w:rsid w:val="009F3812"/>
    <w:rsid w:val="009F3A98"/>
    <w:rsid w:val="009F4333"/>
    <w:rsid w:val="009F5396"/>
    <w:rsid w:val="009F6009"/>
    <w:rsid w:val="009F6218"/>
    <w:rsid w:val="009F6746"/>
    <w:rsid w:val="009F6D64"/>
    <w:rsid w:val="009F7E9E"/>
    <w:rsid w:val="00A0187E"/>
    <w:rsid w:val="00A02D49"/>
    <w:rsid w:val="00A02EC7"/>
    <w:rsid w:val="00A04763"/>
    <w:rsid w:val="00A05184"/>
    <w:rsid w:val="00A05E75"/>
    <w:rsid w:val="00A062EF"/>
    <w:rsid w:val="00A070E4"/>
    <w:rsid w:val="00A070F2"/>
    <w:rsid w:val="00A1118F"/>
    <w:rsid w:val="00A111C7"/>
    <w:rsid w:val="00A1317B"/>
    <w:rsid w:val="00A13741"/>
    <w:rsid w:val="00A138F0"/>
    <w:rsid w:val="00A13E1F"/>
    <w:rsid w:val="00A148A4"/>
    <w:rsid w:val="00A15936"/>
    <w:rsid w:val="00A15D66"/>
    <w:rsid w:val="00A1612D"/>
    <w:rsid w:val="00A16341"/>
    <w:rsid w:val="00A164E5"/>
    <w:rsid w:val="00A1744A"/>
    <w:rsid w:val="00A2230A"/>
    <w:rsid w:val="00A23C11"/>
    <w:rsid w:val="00A24218"/>
    <w:rsid w:val="00A2487C"/>
    <w:rsid w:val="00A25B54"/>
    <w:rsid w:val="00A25C5C"/>
    <w:rsid w:val="00A26596"/>
    <w:rsid w:val="00A265FC"/>
    <w:rsid w:val="00A26E0C"/>
    <w:rsid w:val="00A27A5B"/>
    <w:rsid w:val="00A30111"/>
    <w:rsid w:val="00A3157B"/>
    <w:rsid w:val="00A32192"/>
    <w:rsid w:val="00A3265C"/>
    <w:rsid w:val="00A326EB"/>
    <w:rsid w:val="00A32E39"/>
    <w:rsid w:val="00A3371F"/>
    <w:rsid w:val="00A33AC7"/>
    <w:rsid w:val="00A35927"/>
    <w:rsid w:val="00A36964"/>
    <w:rsid w:val="00A3739F"/>
    <w:rsid w:val="00A40AF0"/>
    <w:rsid w:val="00A41CA2"/>
    <w:rsid w:val="00A44430"/>
    <w:rsid w:val="00A45933"/>
    <w:rsid w:val="00A45B3F"/>
    <w:rsid w:val="00A46C4F"/>
    <w:rsid w:val="00A505ED"/>
    <w:rsid w:val="00A51805"/>
    <w:rsid w:val="00A52321"/>
    <w:rsid w:val="00A536FD"/>
    <w:rsid w:val="00A539E1"/>
    <w:rsid w:val="00A53C6B"/>
    <w:rsid w:val="00A542FC"/>
    <w:rsid w:val="00A609F3"/>
    <w:rsid w:val="00A61E5F"/>
    <w:rsid w:val="00A620F1"/>
    <w:rsid w:val="00A63341"/>
    <w:rsid w:val="00A64814"/>
    <w:rsid w:val="00A6519F"/>
    <w:rsid w:val="00A65709"/>
    <w:rsid w:val="00A665EE"/>
    <w:rsid w:val="00A672F2"/>
    <w:rsid w:val="00A67AFF"/>
    <w:rsid w:val="00A72419"/>
    <w:rsid w:val="00A72A96"/>
    <w:rsid w:val="00A74672"/>
    <w:rsid w:val="00A74B22"/>
    <w:rsid w:val="00A7595F"/>
    <w:rsid w:val="00A761EB"/>
    <w:rsid w:val="00A7624E"/>
    <w:rsid w:val="00A775DE"/>
    <w:rsid w:val="00A77CF2"/>
    <w:rsid w:val="00A77EFB"/>
    <w:rsid w:val="00A81D93"/>
    <w:rsid w:val="00A8227E"/>
    <w:rsid w:val="00A82D41"/>
    <w:rsid w:val="00A834B3"/>
    <w:rsid w:val="00A8383D"/>
    <w:rsid w:val="00A838A1"/>
    <w:rsid w:val="00A83E5C"/>
    <w:rsid w:val="00A84EF0"/>
    <w:rsid w:val="00A855C1"/>
    <w:rsid w:val="00A856B2"/>
    <w:rsid w:val="00A87EA9"/>
    <w:rsid w:val="00A905DE"/>
    <w:rsid w:val="00A9076C"/>
    <w:rsid w:val="00A90B2C"/>
    <w:rsid w:val="00A94461"/>
    <w:rsid w:val="00A950ED"/>
    <w:rsid w:val="00A96B7F"/>
    <w:rsid w:val="00A97C15"/>
    <w:rsid w:val="00AA0184"/>
    <w:rsid w:val="00AA0F7D"/>
    <w:rsid w:val="00AA1717"/>
    <w:rsid w:val="00AA2440"/>
    <w:rsid w:val="00AA3C95"/>
    <w:rsid w:val="00AB0257"/>
    <w:rsid w:val="00AB0266"/>
    <w:rsid w:val="00AB4B58"/>
    <w:rsid w:val="00AB51C3"/>
    <w:rsid w:val="00AB6E43"/>
    <w:rsid w:val="00AC0D74"/>
    <w:rsid w:val="00AC15B7"/>
    <w:rsid w:val="00AC321C"/>
    <w:rsid w:val="00AC3A73"/>
    <w:rsid w:val="00AC3C2C"/>
    <w:rsid w:val="00AC4AA1"/>
    <w:rsid w:val="00AC4C52"/>
    <w:rsid w:val="00AC74B3"/>
    <w:rsid w:val="00AC7732"/>
    <w:rsid w:val="00AD0354"/>
    <w:rsid w:val="00AD0636"/>
    <w:rsid w:val="00AD0946"/>
    <w:rsid w:val="00AD1A5D"/>
    <w:rsid w:val="00AD2E51"/>
    <w:rsid w:val="00AD2E57"/>
    <w:rsid w:val="00AD3498"/>
    <w:rsid w:val="00AD500C"/>
    <w:rsid w:val="00AD54A9"/>
    <w:rsid w:val="00AD5552"/>
    <w:rsid w:val="00AD5F82"/>
    <w:rsid w:val="00AD63B3"/>
    <w:rsid w:val="00AD6EEC"/>
    <w:rsid w:val="00AD7219"/>
    <w:rsid w:val="00AE0005"/>
    <w:rsid w:val="00AE021C"/>
    <w:rsid w:val="00AE226F"/>
    <w:rsid w:val="00AE2F50"/>
    <w:rsid w:val="00AE3773"/>
    <w:rsid w:val="00AE3AF9"/>
    <w:rsid w:val="00AE5050"/>
    <w:rsid w:val="00AE5380"/>
    <w:rsid w:val="00AE5DA8"/>
    <w:rsid w:val="00AE5F94"/>
    <w:rsid w:val="00AE7020"/>
    <w:rsid w:val="00AE7DAF"/>
    <w:rsid w:val="00AE7E81"/>
    <w:rsid w:val="00AF0CC8"/>
    <w:rsid w:val="00AF16EC"/>
    <w:rsid w:val="00AF1D11"/>
    <w:rsid w:val="00AF1D4E"/>
    <w:rsid w:val="00AF3582"/>
    <w:rsid w:val="00AF39A9"/>
    <w:rsid w:val="00AF505A"/>
    <w:rsid w:val="00AF5377"/>
    <w:rsid w:val="00AF553A"/>
    <w:rsid w:val="00AF5EEF"/>
    <w:rsid w:val="00AF64F5"/>
    <w:rsid w:val="00B00410"/>
    <w:rsid w:val="00B025BE"/>
    <w:rsid w:val="00B02E2D"/>
    <w:rsid w:val="00B036B0"/>
    <w:rsid w:val="00B062E2"/>
    <w:rsid w:val="00B069A7"/>
    <w:rsid w:val="00B070F3"/>
    <w:rsid w:val="00B07716"/>
    <w:rsid w:val="00B111B7"/>
    <w:rsid w:val="00B120A1"/>
    <w:rsid w:val="00B128DD"/>
    <w:rsid w:val="00B13165"/>
    <w:rsid w:val="00B1605C"/>
    <w:rsid w:val="00B167FA"/>
    <w:rsid w:val="00B16CB1"/>
    <w:rsid w:val="00B17302"/>
    <w:rsid w:val="00B17C1D"/>
    <w:rsid w:val="00B21964"/>
    <w:rsid w:val="00B23084"/>
    <w:rsid w:val="00B23FAF"/>
    <w:rsid w:val="00B241B2"/>
    <w:rsid w:val="00B24BA7"/>
    <w:rsid w:val="00B252C5"/>
    <w:rsid w:val="00B25F8D"/>
    <w:rsid w:val="00B261A0"/>
    <w:rsid w:val="00B266B4"/>
    <w:rsid w:val="00B268BC"/>
    <w:rsid w:val="00B27D77"/>
    <w:rsid w:val="00B31390"/>
    <w:rsid w:val="00B31630"/>
    <w:rsid w:val="00B31CB8"/>
    <w:rsid w:val="00B32944"/>
    <w:rsid w:val="00B343DF"/>
    <w:rsid w:val="00B35803"/>
    <w:rsid w:val="00B366FD"/>
    <w:rsid w:val="00B36E08"/>
    <w:rsid w:val="00B40AFE"/>
    <w:rsid w:val="00B41C0A"/>
    <w:rsid w:val="00B45306"/>
    <w:rsid w:val="00B46253"/>
    <w:rsid w:val="00B47B18"/>
    <w:rsid w:val="00B50382"/>
    <w:rsid w:val="00B5198D"/>
    <w:rsid w:val="00B519B6"/>
    <w:rsid w:val="00B52C24"/>
    <w:rsid w:val="00B53512"/>
    <w:rsid w:val="00B53F17"/>
    <w:rsid w:val="00B542D6"/>
    <w:rsid w:val="00B57127"/>
    <w:rsid w:val="00B60702"/>
    <w:rsid w:val="00B62064"/>
    <w:rsid w:val="00B623DD"/>
    <w:rsid w:val="00B62CE9"/>
    <w:rsid w:val="00B63F11"/>
    <w:rsid w:val="00B6482F"/>
    <w:rsid w:val="00B64A71"/>
    <w:rsid w:val="00B6547F"/>
    <w:rsid w:val="00B66377"/>
    <w:rsid w:val="00B66EF1"/>
    <w:rsid w:val="00B66FEF"/>
    <w:rsid w:val="00B67C22"/>
    <w:rsid w:val="00B67EEC"/>
    <w:rsid w:val="00B722F0"/>
    <w:rsid w:val="00B76327"/>
    <w:rsid w:val="00B7687A"/>
    <w:rsid w:val="00B76887"/>
    <w:rsid w:val="00B76DD1"/>
    <w:rsid w:val="00B776CC"/>
    <w:rsid w:val="00B77E7B"/>
    <w:rsid w:val="00B8014F"/>
    <w:rsid w:val="00B82435"/>
    <w:rsid w:val="00B85B18"/>
    <w:rsid w:val="00B86CFC"/>
    <w:rsid w:val="00B872F3"/>
    <w:rsid w:val="00B904C3"/>
    <w:rsid w:val="00B90701"/>
    <w:rsid w:val="00B91737"/>
    <w:rsid w:val="00B91E12"/>
    <w:rsid w:val="00B91E89"/>
    <w:rsid w:val="00B92C09"/>
    <w:rsid w:val="00B92C82"/>
    <w:rsid w:val="00B92FC7"/>
    <w:rsid w:val="00B94009"/>
    <w:rsid w:val="00B940A9"/>
    <w:rsid w:val="00B948C3"/>
    <w:rsid w:val="00B9561B"/>
    <w:rsid w:val="00B966A6"/>
    <w:rsid w:val="00B96F09"/>
    <w:rsid w:val="00B97107"/>
    <w:rsid w:val="00B975C1"/>
    <w:rsid w:val="00B97E76"/>
    <w:rsid w:val="00BA0049"/>
    <w:rsid w:val="00BA265E"/>
    <w:rsid w:val="00BA2F44"/>
    <w:rsid w:val="00BA3860"/>
    <w:rsid w:val="00BA401D"/>
    <w:rsid w:val="00BA511B"/>
    <w:rsid w:val="00BA5DE1"/>
    <w:rsid w:val="00BA6861"/>
    <w:rsid w:val="00BA798A"/>
    <w:rsid w:val="00BA7B86"/>
    <w:rsid w:val="00BB1149"/>
    <w:rsid w:val="00BB1D06"/>
    <w:rsid w:val="00BB39BE"/>
    <w:rsid w:val="00BB459B"/>
    <w:rsid w:val="00BB690E"/>
    <w:rsid w:val="00BB73EF"/>
    <w:rsid w:val="00BB7AD4"/>
    <w:rsid w:val="00BC0815"/>
    <w:rsid w:val="00BC134D"/>
    <w:rsid w:val="00BC2399"/>
    <w:rsid w:val="00BC27D1"/>
    <w:rsid w:val="00BC3C70"/>
    <w:rsid w:val="00BC4562"/>
    <w:rsid w:val="00BC5257"/>
    <w:rsid w:val="00BC5ABF"/>
    <w:rsid w:val="00BC5EF8"/>
    <w:rsid w:val="00BC6697"/>
    <w:rsid w:val="00BC7AEE"/>
    <w:rsid w:val="00BD0DCB"/>
    <w:rsid w:val="00BD1ED8"/>
    <w:rsid w:val="00BD25CA"/>
    <w:rsid w:val="00BD2963"/>
    <w:rsid w:val="00BD3BEB"/>
    <w:rsid w:val="00BD6688"/>
    <w:rsid w:val="00BD7289"/>
    <w:rsid w:val="00BD7F77"/>
    <w:rsid w:val="00BE0A50"/>
    <w:rsid w:val="00BE37E0"/>
    <w:rsid w:val="00BE409A"/>
    <w:rsid w:val="00BE4321"/>
    <w:rsid w:val="00BE4573"/>
    <w:rsid w:val="00BE519F"/>
    <w:rsid w:val="00BE6C84"/>
    <w:rsid w:val="00BF1F29"/>
    <w:rsid w:val="00BF2FFC"/>
    <w:rsid w:val="00BF3377"/>
    <w:rsid w:val="00BF5707"/>
    <w:rsid w:val="00BF6093"/>
    <w:rsid w:val="00BF676C"/>
    <w:rsid w:val="00BF7019"/>
    <w:rsid w:val="00BF7041"/>
    <w:rsid w:val="00C01BEB"/>
    <w:rsid w:val="00C01CA4"/>
    <w:rsid w:val="00C02D1A"/>
    <w:rsid w:val="00C037DF"/>
    <w:rsid w:val="00C040E3"/>
    <w:rsid w:val="00C046C0"/>
    <w:rsid w:val="00C068F2"/>
    <w:rsid w:val="00C06DFD"/>
    <w:rsid w:val="00C06F1F"/>
    <w:rsid w:val="00C07E7F"/>
    <w:rsid w:val="00C1106E"/>
    <w:rsid w:val="00C1115F"/>
    <w:rsid w:val="00C119D1"/>
    <w:rsid w:val="00C12394"/>
    <w:rsid w:val="00C13735"/>
    <w:rsid w:val="00C16939"/>
    <w:rsid w:val="00C21ACD"/>
    <w:rsid w:val="00C2228C"/>
    <w:rsid w:val="00C25BF6"/>
    <w:rsid w:val="00C25D5B"/>
    <w:rsid w:val="00C270CC"/>
    <w:rsid w:val="00C27174"/>
    <w:rsid w:val="00C274DC"/>
    <w:rsid w:val="00C277F9"/>
    <w:rsid w:val="00C27ADA"/>
    <w:rsid w:val="00C27EF4"/>
    <w:rsid w:val="00C319E8"/>
    <w:rsid w:val="00C32468"/>
    <w:rsid w:val="00C3327E"/>
    <w:rsid w:val="00C3333D"/>
    <w:rsid w:val="00C355E4"/>
    <w:rsid w:val="00C36D1A"/>
    <w:rsid w:val="00C40886"/>
    <w:rsid w:val="00C43299"/>
    <w:rsid w:val="00C43343"/>
    <w:rsid w:val="00C45D8D"/>
    <w:rsid w:val="00C47D98"/>
    <w:rsid w:val="00C52A19"/>
    <w:rsid w:val="00C539AA"/>
    <w:rsid w:val="00C53F99"/>
    <w:rsid w:val="00C544F6"/>
    <w:rsid w:val="00C5453F"/>
    <w:rsid w:val="00C54F11"/>
    <w:rsid w:val="00C55369"/>
    <w:rsid w:val="00C55797"/>
    <w:rsid w:val="00C55D2A"/>
    <w:rsid w:val="00C571AD"/>
    <w:rsid w:val="00C57DC1"/>
    <w:rsid w:val="00C60B23"/>
    <w:rsid w:val="00C61A82"/>
    <w:rsid w:val="00C61B9E"/>
    <w:rsid w:val="00C61F94"/>
    <w:rsid w:val="00C62D74"/>
    <w:rsid w:val="00C638D5"/>
    <w:rsid w:val="00C643D6"/>
    <w:rsid w:val="00C644B1"/>
    <w:rsid w:val="00C6507C"/>
    <w:rsid w:val="00C65785"/>
    <w:rsid w:val="00C665A4"/>
    <w:rsid w:val="00C70A8B"/>
    <w:rsid w:val="00C7149F"/>
    <w:rsid w:val="00C71AC0"/>
    <w:rsid w:val="00C71CC4"/>
    <w:rsid w:val="00C71DAB"/>
    <w:rsid w:val="00C72366"/>
    <w:rsid w:val="00C72C77"/>
    <w:rsid w:val="00C741D4"/>
    <w:rsid w:val="00C74310"/>
    <w:rsid w:val="00C74F57"/>
    <w:rsid w:val="00C75185"/>
    <w:rsid w:val="00C757AA"/>
    <w:rsid w:val="00C77417"/>
    <w:rsid w:val="00C77782"/>
    <w:rsid w:val="00C77C7E"/>
    <w:rsid w:val="00C8022D"/>
    <w:rsid w:val="00C857B5"/>
    <w:rsid w:val="00C85855"/>
    <w:rsid w:val="00C875B5"/>
    <w:rsid w:val="00C87AFC"/>
    <w:rsid w:val="00C90806"/>
    <w:rsid w:val="00C92E85"/>
    <w:rsid w:val="00C93569"/>
    <w:rsid w:val="00C9388A"/>
    <w:rsid w:val="00C94198"/>
    <w:rsid w:val="00C9443C"/>
    <w:rsid w:val="00C963BE"/>
    <w:rsid w:val="00C97860"/>
    <w:rsid w:val="00CA0379"/>
    <w:rsid w:val="00CA0434"/>
    <w:rsid w:val="00CA1AAC"/>
    <w:rsid w:val="00CA5F2E"/>
    <w:rsid w:val="00CA5F3E"/>
    <w:rsid w:val="00CA6F8F"/>
    <w:rsid w:val="00CA729C"/>
    <w:rsid w:val="00CA7363"/>
    <w:rsid w:val="00CB0854"/>
    <w:rsid w:val="00CB1AC9"/>
    <w:rsid w:val="00CB2422"/>
    <w:rsid w:val="00CB260F"/>
    <w:rsid w:val="00CB4870"/>
    <w:rsid w:val="00CB6EBB"/>
    <w:rsid w:val="00CB77F6"/>
    <w:rsid w:val="00CC0CCC"/>
    <w:rsid w:val="00CC143F"/>
    <w:rsid w:val="00CC1E53"/>
    <w:rsid w:val="00CC247F"/>
    <w:rsid w:val="00CC2F2B"/>
    <w:rsid w:val="00CC3E90"/>
    <w:rsid w:val="00CC706C"/>
    <w:rsid w:val="00CC7F6E"/>
    <w:rsid w:val="00CD166B"/>
    <w:rsid w:val="00CD1EFE"/>
    <w:rsid w:val="00CD318D"/>
    <w:rsid w:val="00CD49E7"/>
    <w:rsid w:val="00CD4A85"/>
    <w:rsid w:val="00CD536F"/>
    <w:rsid w:val="00CD570E"/>
    <w:rsid w:val="00CD5E9F"/>
    <w:rsid w:val="00CD5EEE"/>
    <w:rsid w:val="00CD6157"/>
    <w:rsid w:val="00CD6AE1"/>
    <w:rsid w:val="00CD6CF0"/>
    <w:rsid w:val="00CD6DC3"/>
    <w:rsid w:val="00CD7EA0"/>
    <w:rsid w:val="00CE0945"/>
    <w:rsid w:val="00CE0F79"/>
    <w:rsid w:val="00CE3356"/>
    <w:rsid w:val="00CE36D6"/>
    <w:rsid w:val="00CE4806"/>
    <w:rsid w:val="00CE4F3B"/>
    <w:rsid w:val="00CE50A2"/>
    <w:rsid w:val="00CE58B4"/>
    <w:rsid w:val="00CE669A"/>
    <w:rsid w:val="00CE776A"/>
    <w:rsid w:val="00CF07DC"/>
    <w:rsid w:val="00CF132C"/>
    <w:rsid w:val="00CF183C"/>
    <w:rsid w:val="00CF6465"/>
    <w:rsid w:val="00CF6C03"/>
    <w:rsid w:val="00CF7B1B"/>
    <w:rsid w:val="00CF7D9F"/>
    <w:rsid w:val="00D00E3E"/>
    <w:rsid w:val="00D03D6A"/>
    <w:rsid w:val="00D063AB"/>
    <w:rsid w:val="00D06864"/>
    <w:rsid w:val="00D0798F"/>
    <w:rsid w:val="00D103B6"/>
    <w:rsid w:val="00D107A0"/>
    <w:rsid w:val="00D10E07"/>
    <w:rsid w:val="00D114D6"/>
    <w:rsid w:val="00D11C86"/>
    <w:rsid w:val="00D12B3A"/>
    <w:rsid w:val="00D15106"/>
    <w:rsid w:val="00D1642A"/>
    <w:rsid w:val="00D16971"/>
    <w:rsid w:val="00D202AD"/>
    <w:rsid w:val="00D20420"/>
    <w:rsid w:val="00D2095C"/>
    <w:rsid w:val="00D213D3"/>
    <w:rsid w:val="00D21E3D"/>
    <w:rsid w:val="00D22136"/>
    <w:rsid w:val="00D22EE0"/>
    <w:rsid w:val="00D2439F"/>
    <w:rsid w:val="00D24897"/>
    <w:rsid w:val="00D26CA0"/>
    <w:rsid w:val="00D27C24"/>
    <w:rsid w:val="00D30604"/>
    <w:rsid w:val="00D30E85"/>
    <w:rsid w:val="00D31B16"/>
    <w:rsid w:val="00D31B18"/>
    <w:rsid w:val="00D32378"/>
    <w:rsid w:val="00D32D74"/>
    <w:rsid w:val="00D33A4C"/>
    <w:rsid w:val="00D36ABB"/>
    <w:rsid w:val="00D36DCE"/>
    <w:rsid w:val="00D37B44"/>
    <w:rsid w:val="00D37D63"/>
    <w:rsid w:val="00D40CA9"/>
    <w:rsid w:val="00D41118"/>
    <w:rsid w:val="00D41189"/>
    <w:rsid w:val="00D41963"/>
    <w:rsid w:val="00D41FAE"/>
    <w:rsid w:val="00D436C5"/>
    <w:rsid w:val="00D44939"/>
    <w:rsid w:val="00D44C4A"/>
    <w:rsid w:val="00D5002B"/>
    <w:rsid w:val="00D50C97"/>
    <w:rsid w:val="00D51528"/>
    <w:rsid w:val="00D5182E"/>
    <w:rsid w:val="00D51DCA"/>
    <w:rsid w:val="00D5338F"/>
    <w:rsid w:val="00D54A66"/>
    <w:rsid w:val="00D54BF0"/>
    <w:rsid w:val="00D55B08"/>
    <w:rsid w:val="00D57B6A"/>
    <w:rsid w:val="00D60295"/>
    <w:rsid w:val="00D610E5"/>
    <w:rsid w:val="00D6227A"/>
    <w:rsid w:val="00D625DC"/>
    <w:rsid w:val="00D62F21"/>
    <w:rsid w:val="00D63431"/>
    <w:rsid w:val="00D6349E"/>
    <w:rsid w:val="00D64392"/>
    <w:rsid w:val="00D645B3"/>
    <w:rsid w:val="00D64CE8"/>
    <w:rsid w:val="00D65B1B"/>
    <w:rsid w:val="00D65B37"/>
    <w:rsid w:val="00D66DEF"/>
    <w:rsid w:val="00D67104"/>
    <w:rsid w:val="00D6749B"/>
    <w:rsid w:val="00D7058E"/>
    <w:rsid w:val="00D71157"/>
    <w:rsid w:val="00D71292"/>
    <w:rsid w:val="00D727AD"/>
    <w:rsid w:val="00D72A8B"/>
    <w:rsid w:val="00D73D5D"/>
    <w:rsid w:val="00D7409E"/>
    <w:rsid w:val="00D7413F"/>
    <w:rsid w:val="00D76D3E"/>
    <w:rsid w:val="00D80AE6"/>
    <w:rsid w:val="00D82267"/>
    <w:rsid w:val="00D8236D"/>
    <w:rsid w:val="00D82EE5"/>
    <w:rsid w:val="00D853C8"/>
    <w:rsid w:val="00D872E7"/>
    <w:rsid w:val="00D90052"/>
    <w:rsid w:val="00D904DE"/>
    <w:rsid w:val="00D92A14"/>
    <w:rsid w:val="00D93283"/>
    <w:rsid w:val="00D949CB"/>
    <w:rsid w:val="00D94AC5"/>
    <w:rsid w:val="00D94AF1"/>
    <w:rsid w:val="00D94B49"/>
    <w:rsid w:val="00D95379"/>
    <w:rsid w:val="00D954C3"/>
    <w:rsid w:val="00D96219"/>
    <w:rsid w:val="00D96FDE"/>
    <w:rsid w:val="00D9727B"/>
    <w:rsid w:val="00D9756C"/>
    <w:rsid w:val="00DA006C"/>
    <w:rsid w:val="00DA11A1"/>
    <w:rsid w:val="00DA3566"/>
    <w:rsid w:val="00DA35B2"/>
    <w:rsid w:val="00DA65CC"/>
    <w:rsid w:val="00DA67C9"/>
    <w:rsid w:val="00DA7FD4"/>
    <w:rsid w:val="00DB1308"/>
    <w:rsid w:val="00DB15CA"/>
    <w:rsid w:val="00DB27BD"/>
    <w:rsid w:val="00DB4D0F"/>
    <w:rsid w:val="00DB5991"/>
    <w:rsid w:val="00DB5A43"/>
    <w:rsid w:val="00DB64CF"/>
    <w:rsid w:val="00DC1310"/>
    <w:rsid w:val="00DC1D92"/>
    <w:rsid w:val="00DC2DA0"/>
    <w:rsid w:val="00DC39A2"/>
    <w:rsid w:val="00DC3B99"/>
    <w:rsid w:val="00DC3F14"/>
    <w:rsid w:val="00DC440B"/>
    <w:rsid w:val="00DD0510"/>
    <w:rsid w:val="00DD0709"/>
    <w:rsid w:val="00DD0EEE"/>
    <w:rsid w:val="00DD2938"/>
    <w:rsid w:val="00DD382B"/>
    <w:rsid w:val="00DD3943"/>
    <w:rsid w:val="00DD40C4"/>
    <w:rsid w:val="00DD4A0D"/>
    <w:rsid w:val="00DE0F8D"/>
    <w:rsid w:val="00DE30CE"/>
    <w:rsid w:val="00DE4A8C"/>
    <w:rsid w:val="00DE4E96"/>
    <w:rsid w:val="00DE57E0"/>
    <w:rsid w:val="00DE5F21"/>
    <w:rsid w:val="00DE6D1D"/>
    <w:rsid w:val="00DE7302"/>
    <w:rsid w:val="00DE7B1F"/>
    <w:rsid w:val="00DF043D"/>
    <w:rsid w:val="00DF1039"/>
    <w:rsid w:val="00DF1740"/>
    <w:rsid w:val="00DF2235"/>
    <w:rsid w:val="00DF3D76"/>
    <w:rsid w:val="00DF4B48"/>
    <w:rsid w:val="00DF5711"/>
    <w:rsid w:val="00DF5CF3"/>
    <w:rsid w:val="00DF68B1"/>
    <w:rsid w:val="00DF6A4A"/>
    <w:rsid w:val="00DF76E7"/>
    <w:rsid w:val="00E01635"/>
    <w:rsid w:val="00E01B55"/>
    <w:rsid w:val="00E01B9E"/>
    <w:rsid w:val="00E02A2E"/>
    <w:rsid w:val="00E038FB"/>
    <w:rsid w:val="00E04182"/>
    <w:rsid w:val="00E0643A"/>
    <w:rsid w:val="00E12043"/>
    <w:rsid w:val="00E12D9B"/>
    <w:rsid w:val="00E132AD"/>
    <w:rsid w:val="00E13AD3"/>
    <w:rsid w:val="00E13C21"/>
    <w:rsid w:val="00E14621"/>
    <w:rsid w:val="00E154E1"/>
    <w:rsid w:val="00E16D51"/>
    <w:rsid w:val="00E172EC"/>
    <w:rsid w:val="00E178AC"/>
    <w:rsid w:val="00E223A5"/>
    <w:rsid w:val="00E227DA"/>
    <w:rsid w:val="00E23CBB"/>
    <w:rsid w:val="00E25F70"/>
    <w:rsid w:val="00E2650E"/>
    <w:rsid w:val="00E27747"/>
    <w:rsid w:val="00E30028"/>
    <w:rsid w:val="00E30BF1"/>
    <w:rsid w:val="00E31950"/>
    <w:rsid w:val="00E31D18"/>
    <w:rsid w:val="00E32B01"/>
    <w:rsid w:val="00E34FDF"/>
    <w:rsid w:val="00E35053"/>
    <w:rsid w:val="00E3640E"/>
    <w:rsid w:val="00E37B90"/>
    <w:rsid w:val="00E416FF"/>
    <w:rsid w:val="00E41FE3"/>
    <w:rsid w:val="00E4206D"/>
    <w:rsid w:val="00E435B1"/>
    <w:rsid w:val="00E44C05"/>
    <w:rsid w:val="00E44CB3"/>
    <w:rsid w:val="00E45BD7"/>
    <w:rsid w:val="00E46A29"/>
    <w:rsid w:val="00E5056C"/>
    <w:rsid w:val="00E5131D"/>
    <w:rsid w:val="00E5260F"/>
    <w:rsid w:val="00E54095"/>
    <w:rsid w:val="00E541BD"/>
    <w:rsid w:val="00E54DA2"/>
    <w:rsid w:val="00E5562E"/>
    <w:rsid w:val="00E568CF"/>
    <w:rsid w:val="00E57233"/>
    <w:rsid w:val="00E57A11"/>
    <w:rsid w:val="00E603A0"/>
    <w:rsid w:val="00E60F14"/>
    <w:rsid w:val="00E630BD"/>
    <w:rsid w:val="00E6314D"/>
    <w:rsid w:val="00E64CA3"/>
    <w:rsid w:val="00E65C72"/>
    <w:rsid w:val="00E65D52"/>
    <w:rsid w:val="00E66135"/>
    <w:rsid w:val="00E6659F"/>
    <w:rsid w:val="00E67B8A"/>
    <w:rsid w:val="00E7039D"/>
    <w:rsid w:val="00E71845"/>
    <w:rsid w:val="00E721D2"/>
    <w:rsid w:val="00E73F83"/>
    <w:rsid w:val="00E7478F"/>
    <w:rsid w:val="00E75B98"/>
    <w:rsid w:val="00E764F5"/>
    <w:rsid w:val="00E77EB6"/>
    <w:rsid w:val="00E8019F"/>
    <w:rsid w:val="00E81C5D"/>
    <w:rsid w:val="00E82E38"/>
    <w:rsid w:val="00E832ED"/>
    <w:rsid w:val="00E850CE"/>
    <w:rsid w:val="00E8724F"/>
    <w:rsid w:val="00E87E6A"/>
    <w:rsid w:val="00E90287"/>
    <w:rsid w:val="00E91171"/>
    <w:rsid w:val="00E918D0"/>
    <w:rsid w:val="00E92082"/>
    <w:rsid w:val="00E94479"/>
    <w:rsid w:val="00E97D5B"/>
    <w:rsid w:val="00EA0EF9"/>
    <w:rsid w:val="00EA217F"/>
    <w:rsid w:val="00EA2426"/>
    <w:rsid w:val="00EA2BE3"/>
    <w:rsid w:val="00EA4D6F"/>
    <w:rsid w:val="00EA4E57"/>
    <w:rsid w:val="00EA5257"/>
    <w:rsid w:val="00EB037A"/>
    <w:rsid w:val="00EB2075"/>
    <w:rsid w:val="00EB696A"/>
    <w:rsid w:val="00EB76BB"/>
    <w:rsid w:val="00EB7902"/>
    <w:rsid w:val="00EB7BDD"/>
    <w:rsid w:val="00EC0540"/>
    <w:rsid w:val="00EC0A36"/>
    <w:rsid w:val="00EC0C01"/>
    <w:rsid w:val="00EC2268"/>
    <w:rsid w:val="00EC24C3"/>
    <w:rsid w:val="00EC3128"/>
    <w:rsid w:val="00EC3622"/>
    <w:rsid w:val="00EC3C4C"/>
    <w:rsid w:val="00EC4FAB"/>
    <w:rsid w:val="00EC5C20"/>
    <w:rsid w:val="00EC6054"/>
    <w:rsid w:val="00EC7A56"/>
    <w:rsid w:val="00EC7A6C"/>
    <w:rsid w:val="00ED2121"/>
    <w:rsid w:val="00ED28CB"/>
    <w:rsid w:val="00ED33BE"/>
    <w:rsid w:val="00ED3D08"/>
    <w:rsid w:val="00ED5655"/>
    <w:rsid w:val="00ED58AF"/>
    <w:rsid w:val="00ED7EDB"/>
    <w:rsid w:val="00EE041E"/>
    <w:rsid w:val="00EE07F6"/>
    <w:rsid w:val="00EE0E2F"/>
    <w:rsid w:val="00EE1DCB"/>
    <w:rsid w:val="00EE2094"/>
    <w:rsid w:val="00EE2193"/>
    <w:rsid w:val="00EE259D"/>
    <w:rsid w:val="00EE34F1"/>
    <w:rsid w:val="00EE3716"/>
    <w:rsid w:val="00EE3CDE"/>
    <w:rsid w:val="00EE3CDF"/>
    <w:rsid w:val="00EE3DAC"/>
    <w:rsid w:val="00EE5106"/>
    <w:rsid w:val="00EE5B94"/>
    <w:rsid w:val="00EE5BA2"/>
    <w:rsid w:val="00EE6597"/>
    <w:rsid w:val="00EE6AE5"/>
    <w:rsid w:val="00EE6FE4"/>
    <w:rsid w:val="00EE7769"/>
    <w:rsid w:val="00EE7F08"/>
    <w:rsid w:val="00EF0400"/>
    <w:rsid w:val="00EF2A9B"/>
    <w:rsid w:val="00EF37AF"/>
    <w:rsid w:val="00EF4F4F"/>
    <w:rsid w:val="00EF5F4D"/>
    <w:rsid w:val="00F015CE"/>
    <w:rsid w:val="00F03F61"/>
    <w:rsid w:val="00F068AA"/>
    <w:rsid w:val="00F072CD"/>
    <w:rsid w:val="00F10F5D"/>
    <w:rsid w:val="00F123ED"/>
    <w:rsid w:val="00F12913"/>
    <w:rsid w:val="00F142CB"/>
    <w:rsid w:val="00F143A9"/>
    <w:rsid w:val="00F15C66"/>
    <w:rsid w:val="00F16B03"/>
    <w:rsid w:val="00F17474"/>
    <w:rsid w:val="00F247CA"/>
    <w:rsid w:val="00F24E9A"/>
    <w:rsid w:val="00F255D6"/>
    <w:rsid w:val="00F25628"/>
    <w:rsid w:val="00F25944"/>
    <w:rsid w:val="00F25C70"/>
    <w:rsid w:val="00F303C5"/>
    <w:rsid w:val="00F30739"/>
    <w:rsid w:val="00F3080E"/>
    <w:rsid w:val="00F3085A"/>
    <w:rsid w:val="00F30E76"/>
    <w:rsid w:val="00F314C8"/>
    <w:rsid w:val="00F32922"/>
    <w:rsid w:val="00F32C5B"/>
    <w:rsid w:val="00F32ED2"/>
    <w:rsid w:val="00F33734"/>
    <w:rsid w:val="00F337F4"/>
    <w:rsid w:val="00F34715"/>
    <w:rsid w:val="00F348B2"/>
    <w:rsid w:val="00F35253"/>
    <w:rsid w:val="00F361C6"/>
    <w:rsid w:val="00F365E1"/>
    <w:rsid w:val="00F36848"/>
    <w:rsid w:val="00F36C2C"/>
    <w:rsid w:val="00F3775F"/>
    <w:rsid w:val="00F37EF1"/>
    <w:rsid w:val="00F41B7E"/>
    <w:rsid w:val="00F423A8"/>
    <w:rsid w:val="00F42685"/>
    <w:rsid w:val="00F45B86"/>
    <w:rsid w:val="00F460BE"/>
    <w:rsid w:val="00F47F84"/>
    <w:rsid w:val="00F50E2D"/>
    <w:rsid w:val="00F5187B"/>
    <w:rsid w:val="00F51C2C"/>
    <w:rsid w:val="00F53A5C"/>
    <w:rsid w:val="00F553FE"/>
    <w:rsid w:val="00F5561B"/>
    <w:rsid w:val="00F56C1C"/>
    <w:rsid w:val="00F5716D"/>
    <w:rsid w:val="00F609D1"/>
    <w:rsid w:val="00F60DBF"/>
    <w:rsid w:val="00F6268D"/>
    <w:rsid w:val="00F6386E"/>
    <w:rsid w:val="00F65298"/>
    <w:rsid w:val="00F65B0D"/>
    <w:rsid w:val="00F65B5D"/>
    <w:rsid w:val="00F661DB"/>
    <w:rsid w:val="00F679B4"/>
    <w:rsid w:val="00F705E8"/>
    <w:rsid w:val="00F71681"/>
    <w:rsid w:val="00F723A7"/>
    <w:rsid w:val="00F72AB0"/>
    <w:rsid w:val="00F72D4C"/>
    <w:rsid w:val="00F72E9D"/>
    <w:rsid w:val="00F72F15"/>
    <w:rsid w:val="00F74B0F"/>
    <w:rsid w:val="00F74BD2"/>
    <w:rsid w:val="00F74FB1"/>
    <w:rsid w:val="00F75DEB"/>
    <w:rsid w:val="00F76C5D"/>
    <w:rsid w:val="00F7705B"/>
    <w:rsid w:val="00F7723A"/>
    <w:rsid w:val="00F77D48"/>
    <w:rsid w:val="00F8075F"/>
    <w:rsid w:val="00F821D4"/>
    <w:rsid w:val="00F8304F"/>
    <w:rsid w:val="00F84B8F"/>
    <w:rsid w:val="00F85101"/>
    <w:rsid w:val="00F85BC0"/>
    <w:rsid w:val="00F86014"/>
    <w:rsid w:val="00F8623E"/>
    <w:rsid w:val="00F86558"/>
    <w:rsid w:val="00F86B6B"/>
    <w:rsid w:val="00F8732B"/>
    <w:rsid w:val="00F90849"/>
    <w:rsid w:val="00F916F7"/>
    <w:rsid w:val="00F92360"/>
    <w:rsid w:val="00F92B94"/>
    <w:rsid w:val="00F948F5"/>
    <w:rsid w:val="00F94F99"/>
    <w:rsid w:val="00FA0922"/>
    <w:rsid w:val="00FA19C2"/>
    <w:rsid w:val="00FA20E9"/>
    <w:rsid w:val="00FA2960"/>
    <w:rsid w:val="00FA2FFD"/>
    <w:rsid w:val="00FA3FB8"/>
    <w:rsid w:val="00FA5A02"/>
    <w:rsid w:val="00FA5A3B"/>
    <w:rsid w:val="00FA6049"/>
    <w:rsid w:val="00FA6EC0"/>
    <w:rsid w:val="00FA7E74"/>
    <w:rsid w:val="00FB0CD2"/>
    <w:rsid w:val="00FB0ED4"/>
    <w:rsid w:val="00FB10B5"/>
    <w:rsid w:val="00FB2DCE"/>
    <w:rsid w:val="00FB381C"/>
    <w:rsid w:val="00FB54DC"/>
    <w:rsid w:val="00FB55A6"/>
    <w:rsid w:val="00FB56D8"/>
    <w:rsid w:val="00FB5CA5"/>
    <w:rsid w:val="00FB6655"/>
    <w:rsid w:val="00FC273B"/>
    <w:rsid w:val="00FC30B2"/>
    <w:rsid w:val="00FC31F4"/>
    <w:rsid w:val="00FC3267"/>
    <w:rsid w:val="00FC3715"/>
    <w:rsid w:val="00FC42D4"/>
    <w:rsid w:val="00FC7332"/>
    <w:rsid w:val="00FD026B"/>
    <w:rsid w:val="00FD0A7C"/>
    <w:rsid w:val="00FD3203"/>
    <w:rsid w:val="00FD3672"/>
    <w:rsid w:val="00FD43E8"/>
    <w:rsid w:val="00FD5D1D"/>
    <w:rsid w:val="00FD717C"/>
    <w:rsid w:val="00FD72A7"/>
    <w:rsid w:val="00FD769F"/>
    <w:rsid w:val="00FE01B9"/>
    <w:rsid w:val="00FE22F4"/>
    <w:rsid w:val="00FE3070"/>
    <w:rsid w:val="00FE3DDB"/>
    <w:rsid w:val="00FE51E2"/>
    <w:rsid w:val="00FF1475"/>
    <w:rsid w:val="00FF1CAB"/>
    <w:rsid w:val="00FF2BC8"/>
    <w:rsid w:val="00FF2FB9"/>
    <w:rsid w:val="00FF3262"/>
    <w:rsid w:val="00FF333E"/>
    <w:rsid w:val="00FF4625"/>
    <w:rsid w:val="00FF56F3"/>
    <w:rsid w:val="00FF5A67"/>
    <w:rsid w:val="00FF5F4C"/>
    <w:rsid w:val="00FF60E3"/>
    <w:rsid w:val="00FF6704"/>
    <w:rsid w:val="00FF6B5F"/>
    <w:rsid w:val="00FF7A92"/>
    <w:rsid w:val="030A3199"/>
    <w:rsid w:val="03DB1891"/>
    <w:rsid w:val="047D5987"/>
    <w:rsid w:val="083A3681"/>
    <w:rsid w:val="0925C3ED"/>
    <w:rsid w:val="0DA699B7"/>
    <w:rsid w:val="11F697AB"/>
    <w:rsid w:val="154A71D0"/>
    <w:rsid w:val="1982B78F"/>
    <w:rsid w:val="19E152AE"/>
    <w:rsid w:val="201C6E3D"/>
    <w:rsid w:val="20974BEB"/>
    <w:rsid w:val="24B9AB89"/>
    <w:rsid w:val="25876166"/>
    <w:rsid w:val="29E424CC"/>
    <w:rsid w:val="2A5F4A33"/>
    <w:rsid w:val="2C53AB27"/>
    <w:rsid w:val="2CA3AAFA"/>
    <w:rsid w:val="319E06B4"/>
    <w:rsid w:val="32877428"/>
    <w:rsid w:val="338BD5BC"/>
    <w:rsid w:val="342FC49B"/>
    <w:rsid w:val="38B55625"/>
    <w:rsid w:val="39C542BF"/>
    <w:rsid w:val="3CF6C0F9"/>
    <w:rsid w:val="409FA19E"/>
    <w:rsid w:val="4203861B"/>
    <w:rsid w:val="4B005CBE"/>
    <w:rsid w:val="4CD6B95E"/>
    <w:rsid w:val="4FD36A70"/>
    <w:rsid w:val="542F68BC"/>
    <w:rsid w:val="55989934"/>
    <w:rsid w:val="59B8334E"/>
    <w:rsid w:val="5A186DCF"/>
    <w:rsid w:val="5DE1782B"/>
    <w:rsid w:val="60C4ACFC"/>
    <w:rsid w:val="618FEE90"/>
    <w:rsid w:val="6511F796"/>
    <w:rsid w:val="698713C8"/>
    <w:rsid w:val="6B34779C"/>
    <w:rsid w:val="6F050035"/>
    <w:rsid w:val="70DA369C"/>
    <w:rsid w:val="75A461E7"/>
    <w:rsid w:val="764699D2"/>
    <w:rsid w:val="7794635C"/>
    <w:rsid w:val="795E549C"/>
    <w:rsid w:val="797F8A95"/>
    <w:rsid w:val="7CDA184A"/>
    <w:rsid w:val="7FB5AC8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2825D"/>
  <w15:chartTrackingRefBased/>
  <w15:docId w15:val="{69C87E07-1A54-410D-8738-368946A4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437B"/>
    <w:pPr>
      <w:spacing w:after="200" w:line="276" w:lineRule="auto"/>
    </w:pPr>
    <w:rPr>
      <w:sz w:val="22"/>
      <w:szCs w:val="22"/>
      <w:lang w:eastAsia="en-US"/>
    </w:rPr>
  </w:style>
  <w:style w:type="paragraph" w:styleId="Nagwek1">
    <w:name w:val="heading 1"/>
    <w:basedOn w:val="Normalny"/>
    <w:next w:val="Normalny"/>
    <w:link w:val="Nagwek1Znak"/>
    <w:uiPriority w:val="9"/>
    <w:qFormat/>
    <w:rsid w:val="00C52A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aliases w:val="nowy"/>
    <w:basedOn w:val="Standardowy"/>
    <w:uiPriority w:val="39"/>
    <w:rsid w:val="007F3476"/>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7F3476"/>
    <w:pPr>
      <w:ind w:left="720"/>
      <w:contextualSpacing/>
    </w:pPr>
  </w:style>
  <w:style w:type="character" w:styleId="Odwoaniedokomentarza">
    <w:name w:val="annotation reference"/>
    <w:uiPriority w:val="99"/>
    <w:unhideWhenUsed/>
    <w:rsid w:val="00CE36D6"/>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qFormat/>
    <w:rsid w:val="00CE36D6"/>
    <w:pPr>
      <w:spacing w:line="240" w:lineRule="auto"/>
    </w:pPr>
    <w:rPr>
      <w:sz w:val="20"/>
      <w:szCs w:val="20"/>
    </w:rPr>
  </w:style>
  <w:style w:type="character" w:customStyle="1" w:styleId="TekstkomentarzaZnak">
    <w:name w:val="Tekst komentarza Znak"/>
    <w:aliases w:val="Tekst komentarza Znak Znak Znak,Znak3 Znak Znak Znak, Znak3 Znak Znak Znak, Znak Znak,Znak Znak"/>
    <w:link w:val="Tekstkomentarza"/>
    <w:uiPriority w:val="99"/>
    <w:rsid w:val="00CE36D6"/>
    <w:rPr>
      <w:sz w:val="20"/>
      <w:szCs w:val="20"/>
    </w:rPr>
  </w:style>
  <w:style w:type="paragraph" w:styleId="Tematkomentarza">
    <w:name w:val="annotation subject"/>
    <w:basedOn w:val="Tekstkomentarza"/>
    <w:next w:val="Tekstkomentarza"/>
    <w:link w:val="TematkomentarzaZnak"/>
    <w:uiPriority w:val="99"/>
    <w:semiHidden/>
    <w:unhideWhenUsed/>
    <w:rsid w:val="00CE36D6"/>
    <w:rPr>
      <w:b/>
      <w:bCs/>
    </w:rPr>
  </w:style>
  <w:style w:type="character" w:customStyle="1" w:styleId="TematkomentarzaZnak">
    <w:name w:val="Temat komentarza Znak"/>
    <w:link w:val="Tematkomentarza"/>
    <w:uiPriority w:val="99"/>
    <w:semiHidden/>
    <w:rsid w:val="00CE36D6"/>
    <w:rPr>
      <w:b/>
      <w:bCs/>
      <w:sz w:val="20"/>
      <w:szCs w:val="20"/>
    </w:rPr>
  </w:style>
  <w:style w:type="paragraph" w:styleId="Tekstdymka">
    <w:name w:val="Balloon Text"/>
    <w:basedOn w:val="Normalny"/>
    <w:link w:val="TekstdymkaZnak"/>
    <w:uiPriority w:val="99"/>
    <w:semiHidden/>
    <w:unhideWhenUsed/>
    <w:rsid w:val="00CE36D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E36D6"/>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unhideWhenUsed/>
    <w:rsid w:val="00BA3860"/>
    <w:pPr>
      <w:spacing w:after="0" w:line="240" w:lineRule="auto"/>
    </w:pPr>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sid w:val="00BA3860"/>
    <w:rPr>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nhideWhenUsed/>
    <w:rsid w:val="00BA3860"/>
    <w:rPr>
      <w:vertAlign w:val="superscript"/>
    </w:rPr>
  </w:style>
  <w:style w:type="paragraph" w:styleId="Poprawka">
    <w:name w:val="Revision"/>
    <w:hidden/>
    <w:uiPriority w:val="99"/>
    <w:semiHidden/>
    <w:rsid w:val="006D1BB3"/>
    <w:rPr>
      <w:sz w:val="22"/>
      <w:szCs w:val="22"/>
      <w:lang w:eastAsia="en-US"/>
    </w:rPr>
  </w:style>
  <w:style w:type="paragraph" w:styleId="Nagwek">
    <w:name w:val="header"/>
    <w:basedOn w:val="Normalny"/>
    <w:link w:val="NagwekZnak"/>
    <w:uiPriority w:val="99"/>
    <w:unhideWhenUsed/>
    <w:rsid w:val="00480C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0CFB"/>
  </w:style>
  <w:style w:type="paragraph" w:styleId="Stopka">
    <w:name w:val="footer"/>
    <w:basedOn w:val="Normalny"/>
    <w:link w:val="StopkaZnak"/>
    <w:uiPriority w:val="99"/>
    <w:unhideWhenUsed/>
    <w:rsid w:val="00480C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0CFB"/>
  </w:style>
  <w:style w:type="character" w:styleId="Hipercze">
    <w:name w:val="Hyperlink"/>
    <w:uiPriority w:val="99"/>
    <w:unhideWhenUsed/>
    <w:rsid w:val="00887451"/>
    <w:rPr>
      <w:color w:val="0000FF"/>
      <w:u w:val="single"/>
    </w:rPr>
  </w:style>
  <w:style w:type="character" w:customStyle="1" w:styleId="TekstkomentarzaZnak1">
    <w:name w:val="Tekst komentarza Znak1"/>
    <w:uiPriority w:val="99"/>
    <w:locked/>
    <w:rsid w:val="00760805"/>
    <w:rPr>
      <w:rFonts w:ascii="Arial" w:hAnsi="Arial"/>
      <w:sz w:val="20"/>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484575"/>
    <w:rPr>
      <w:sz w:val="22"/>
      <w:szCs w:val="22"/>
      <w:lang w:eastAsia="en-US"/>
    </w:rPr>
  </w:style>
  <w:style w:type="character" w:customStyle="1" w:styleId="NagwekZnak1">
    <w:name w:val="Nagłówek Znak1"/>
    <w:uiPriority w:val="99"/>
    <w:semiHidden/>
    <w:locked/>
    <w:rsid w:val="005465BE"/>
    <w:rPr>
      <w:rFonts w:ascii="Arial" w:hAnsi="Arial"/>
    </w:rPr>
  </w:style>
  <w:style w:type="character" w:customStyle="1" w:styleId="cf01">
    <w:name w:val="cf01"/>
    <w:basedOn w:val="Domylnaczcionkaakapitu"/>
    <w:rsid w:val="004F74F6"/>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411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1CE1"/>
    <w:rPr>
      <w:lang w:eastAsia="en-US"/>
    </w:rPr>
  </w:style>
  <w:style w:type="character" w:styleId="Odwoanieprzypisukocowego">
    <w:name w:val="endnote reference"/>
    <w:basedOn w:val="Domylnaczcionkaakapitu"/>
    <w:uiPriority w:val="99"/>
    <w:semiHidden/>
    <w:unhideWhenUsed/>
    <w:rsid w:val="00411CE1"/>
    <w:rPr>
      <w:vertAlign w:val="superscript"/>
    </w:rPr>
  </w:style>
  <w:style w:type="character" w:customStyle="1" w:styleId="Nagwek1Znak">
    <w:name w:val="Nagłówek 1 Znak"/>
    <w:basedOn w:val="Domylnaczcionkaakapitu"/>
    <w:link w:val="Nagwek1"/>
    <w:uiPriority w:val="9"/>
    <w:rsid w:val="00C52A19"/>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C52A19"/>
    <w:pPr>
      <w:autoSpaceDE w:val="0"/>
      <w:autoSpaceDN w:val="0"/>
      <w:adjustRightInd w:val="0"/>
    </w:pPr>
    <w:rPr>
      <w:rFonts w:ascii="Arial" w:hAnsi="Arial" w:cs="Arial"/>
      <w:color w:val="000000"/>
      <w:sz w:val="24"/>
      <w:szCs w:val="24"/>
      <w:lang w:eastAsia="pl-PL"/>
    </w:rPr>
  </w:style>
  <w:style w:type="paragraph" w:customStyle="1" w:styleId="Umowaparagrafy">
    <w:name w:val="Umowa_paragrafy"/>
    <w:basedOn w:val="Normalny"/>
    <w:link w:val="UmowaparagrafyZnak"/>
    <w:qFormat/>
    <w:rsid w:val="00C52A19"/>
    <w:pPr>
      <w:keepNext/>
      <w:autoSpaceDE w:val="0"/>
      <w:autoSpaceDN w:val="0"/>
      <w:adjustRightInd w:val="0"/>
      <w:spacing w:before="360" w:after="360" w:line="240" w:lineRule="auto"/>
      <w:jc w:val="center"/>
      <w:outlineLvl w:val="0"/>
    </w:pPr>
    <w:rPr>
      <w:rFonts w:ascii="Arial" w:eastAsia="Times New Roman" w:hAnsi="Arial" w:cs="Arial"/>
      <w:b/>
      <w:bCs/>
      <w:lang w:eastAsia="pl-PL"/>
    </w:rPr>
  </w:style>
  <w:style w:type="character" w:customStyle="1" w:styleId="UmowaparagrafyZnak">
    <w:name w:val="Umowa_paragrafy Znak"/>
    <w:link w:val="Umowaparagrafy"/>
    <w:rsid w:val="00C52A19"/>
    <w:rPr>
      <w:rFonts w:ascii="Arial" w:eastAsia="Times New Roman" w:hAnsi="Arial" w:cs="Arial"/>
      <w:b/>
      <w:bCs/>
      <w:sz w:val="22"/>
      <w:szCs w:val="22"/>
      <w:lang w:eastAsia="pl-PL"/>
    </w:rPr>
  </w:style>
  <w:style w:type="paragraph" w:styleId="Tytu">
    <w:name w:val="Title"/>
    <w:basedOn w:val="Normalny"/>
    <w:next w:val="Normalny"/>
    <w:link w:val="TytuZnak"/>
    <w:uiPriority w:val="10"/>
    <w:qFormat/>
    <w:rsid w:val="00C52A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2A19"/>
    <w:rPr>
      <w:rFonts w:asciiTheme="majorHAnsi" w:eastAsiaTheme="majorEastAsia" w:hAnsiTheme="majorHAnsi" w:cstheme="majorBidi"/>
      <w:spacing w:val="-10"/>
      <w:kern w:val="28"/>
      <w:sz w:val="56"/>
      <w:szCs w:val="56"/>
      <w:lang w:eastAsia="en-US"/>
    </w:rPr>
  </w:style>
  <w:style w:type="character" w:customStyle="1" w:styleId="Nierozpoznanawzmianka1">
    <w:name w:val="Nierozpoznana wzmianka1"/>
    <w:basedOn w:val="Domylnaczcionkaakapitu"/>
    <w:uiPriority w:val="99"/>
    <w:semiHidden/>
    <w:unhideWhenUsed/>
    <w:rsid w:val="00FE3070"/>
    <w:rPr>
      <w:color w:val="605E5C"/>
      <w:shd w:val="clear" w:color="auto" w:fill="E1DFDD"/>
    </w:rPr>
  </w:style>
  <w:style w:type="character" w:customStyle="1" w:styleId="Nierozpoznanawzmianka2">
    <w:name w:val="Nierozpoznana wzmianka2"/>
    <w:basedOn w:val="Domylnaczcionkaakapitu"/>
    <w:uiPriority w:val="99"/>
    <w:semiHidden/>
    <w:unhideWhenUsed/>
    <w:rsid w:val="00EA5257"/>
    <w:rPr>
      <w:color w:val="605E5C"/>
      <w:shd w:val="clear" w:color="auto" w:fill="E1DFDD"/>
    </w:rPr>
  </w:style>
  <w:style w:type="character" w:customStyle="1" w:styleId="Nierozpoznanawzmianka3">
    <w:name w:val="Nierozpoznana wzmianka3"/>
    <w:basedOn w:val="Domylnaczcionkaakapitu"/>
    <w:uiPriority w:val="99"/>
    <w:semiHidden/>
    <w:unhideWhenUsed/>
    <w:rsid w:val="00970B7D"/>
    <w:rPr>
      <w:color w:val="605E5C"/>
      <w:shd w:val="clear" w:color="auto" w:fill="E1DFDD"/>
    </w:rPr>
  </w:style>
  <w:style w:type="character" w:styleId="UyteHipercze">
    <w:name w:val="FollowedHyperlink"/>
    <w:basedOn w:val="Domylnaczcionkaakapitu"/>
    <w:uiPriority w:val="99"/>
    <w:semiHidden/>
    <w:unhideWhenUsed/>
    <w:rsid w:val="00CD1EFE"/>
    <w:rPr>
      <w:color w:val="954F72" w:themeColor="followedHyperlink"/>
      <w:u w:val="single"/>
    </w:rPr>
  </w:style>
  <w:style w:type="character" w:customStyle="1" w:styleId="Nierozpoznanawzmianka4">
    <w:name w:val="Nierozpoznana wzmianka4"/>
    <w:basedOn w:val="Domylnaczcionkaakapitu"/>
    <w:uiPriority w:val="99"/>
    <w:semiHidden/>
    <w:unhideWhenUsed/>
    <w:rsid w:val="00DA11A1"/>
    <w:rPr>
      <w:color w:val="605E5C"/>
      <w:shd w:val="clear" w:color="auto" w:fill="E1DFDD"/>
    </w:rPr>
  </w:style>
  <w:style w:type="character" w:customStyle="1" w:styleId="ui-provider">
    <w:name w:val="ui-provider"/>
    <w:basedOn w:val="Domylnaczcionkaakapitu"/>
    <w:rsid w:val="00BC5257"/>
  </w:style>
  <w:style w:type="paragraph" w:styleId="Tekstpodstawowy">
    <w:name w:val="Body Text"/>
    <w:basedOn w:val="Normalny"/>
    <w:link w:val="TekstpodstawowyZnak"/>
    <w:rsid w:val="00BE519F"/>
    <w:pPr>
      <w:spacing w:before="120" w:after="120" w:line="360" w:lineRule="auto"/>
      <w:jc w:val="both"/>
    </w:pPr>
    <w:rPr>
      <w:rFonts w:asciiTheme="minorHAnsi" w:eastAsia="Times New Roman" w:hAnsiTheme="minorHAnsi"/>
      <w:color w:val="0000FF"/>
      <w:sz w:val="24"/>
      <w:szCs w:val="24"/>
      <w:lang w:eastAsia="pl-PL"/>
    </w:rPr>
  </w:style>
  <w:style w:type="character" w:customStyle="1" w:styleId="TekstpodstawowyZnak">
    <w:name w:val="Tekst podstawowy Znak"/>
    <w:basedOn w:val="Domylnaczcionkaakapitu"/>
    <w:link w:val="Tekstpodstawowy"/>
    <w:rsid w:val="00BE519F"/>
    <w:rPr>
      <w:rFonts w:asciiTheme="minorHAnsi" w:eastAsia="Times New Roman" w:hAnsiTheme="minorHAnsi"/>
      <w:color w:val="0000F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714">
      <w:bodyDiv w:val="1"/>
      <w:marLeft w:val="0"/>
      <w:marRight w:val="0"/>
      <w:marTop w:val="0"/>
      <w:marBottom w:val="0"/>
      <w:divBdr>
        <w:top w:val="none" w:sz="0" w:space="0" w:color="auto"/>
        <w:left w:val="none" w:sz="0" w:space="0" w:color="auto"/>
        <w:bottom w:val="none" w:sz="0" w:space="0" w:color="auto"/>
        <w:right w:val="none" w:sz="0" w:space="0" w:color="auto"/>
      </w:divBdr>
    </w:div>
    <w:div w:id="299191866">
      <w:bodyDiv w:val="1"/>
      <w:marLeft w:val="0"/>
      <w:marRight w:val="0"/>
      <w:marTop w:val="0"/>
      <w:marBottom w:val="0"/>
      <w:divBdr>
        <w:top w:val="none" w:sz="0" w:space="0" w:color="auto"/>
        <w:left w:val="none" w:sz="0" w:space="0" w:color="auto"/>
        <w:bottom w:val="none" w:sz="0" w:space="0" w:color="auto"/>
        <w:right w:val="none" w:sz="0" w:space="0" w:color="auto"/>
      </w:divBdr>
    </w:div>
    <w:div w:id="350841882">
      <w:bodyDiv w:val="1"/>
      <w:marLeft w:val="0"/>
      <w:marRight w:val="0"/>
      <w:marTop w:val="0"/>
      <w:marBottom w:val="0"/>
      <w:divBdr>
        <w:top w:val="none" w:sz="0" w:space="0" w:color="auto"/>
        <w:left w:val="none" w:sz="0" w:space="0" w:color="auto"/>
        <w:bottom w:val="none" w:sz="0" w:space="0" w:color="auto"/>
        <w:right w:val="none" w:sz="0" w:space="0" w:color="auto"/>
      </w:divBdr>
    </w:div>
    <w:div w:id="590166590">
      <w:bodyDiv w:val="1"/>
      <w:marLeft w:val="0"/>
      <w:marRight w:val="0"/>
      <w:marTop w:val="0"/>
      <w:marBottom w:val="0"/>
      <w:divBdr>
        <w:top w:val="none" w:sz="0" w:space="0" w:color="auto"/>
        <w:left w:val="none" w:sz="0" w:space="0" w:color="auto"/>
        <w:bottom w:val="none" w:sz="0" w:space="0" w:color="auto"/>
        <w:right w:val="none" w:sz="0" w:space="0" w:color="auto"/>
      </w:divBdr>
    </w:div>
    <w:div w:id="865291951">
      <w:bodyDiv w:val="1"/>
      <w:marLeft w:val="0"/>
      <w:marRight w:val="0"/>
      <w:marTop w:val="0"/>
      <w:marBottom w:val="0"/>
      <w:divBdr>
        <w:top w:val="none" w:sz="0" w:space="0" w:color="auto"/>
        <w:left w:val="none" w:sz="0" w:space="0" w:color="auto"/>
        <w:bottom w:val="none" w:sz="0" w:space="0" w:color="auto"/>
        <w:right w:val="none" w:sz="0" w:space="0" w:color="auto"/>
      </w:divBdr>
    </w:div>
    <w:div w:id="866911569">
      <w:bodyDiv w:val="1"/>
      <w:marLeft w:val="0"/>
      <w:marRight w:val="0"/>
      <w:marTop w:val="0"/>
      <w:marBottom w:val="0"/>
      <w:divBdr>
        <w:top w:val="none" w:sz="0" w:space="0" w:color="auto"/>
        <w:left w:val="none" w:sz="0" w:space="0" w:color="auto"/>
        <w:bottom w:val="none" w:sz="0" w:space="0" w:color="auto"/>
        <w:right w:val="none" w:sz="0" w:space="0" w:color="auto"/>
      </w:divBdr>
    </w:div>
    <w:div w:id="1102140998">
      <w:bodyDiv w:val="1"/>
      <w:marLeft w:val="0"/>
      <w:marRight w:val="0"/>
      <w:marTop w:val="0"/>
      <w:marBottom w:val="0"/>
      <w:divBdr>
        <w:top w:val="none" w:sz="0" w:space="0" w:color="auto"/>
        <w:left w:val="none" w:sz="0" w:space="0" w:color="auto"/>
        <w:bottom w:val="none" w:sz="0" w:space="0" w:color="auto"/>
        <w:right w:val="none" w:sz="0" w:space="0" w:color="auto"/>
      </w:divBdr>
    </w:div>
    <w:div w:id="1224366315">
      <w:bodyDiv w:val="1"/>
      <w:marLeft w:val="0"/>
      <w:marRight w:val="0"/>
      <w:marTop w:val="0"/>
      <w:marBottom w:val="0"/>
      <w:divBdr>
        <w:top w:val="none" w:sz="0" w:space="0" w:color="auto"/>
        <w:left w:val="none" w:sz="0" w:space="0" w:color="auto"/>
        <w:bottom w:val="none" w:sz="0" w:space="0" w:color="auto"/>
        <w:right w:val="none" w:sz="0" w:space="0" w:color="auto"/>
      </w:divBdr>
    </w:div>
    <w:div w:id="1608153661">
      <w:bodyDiv w:val="1"/>
      <w:marLeft w:val="0"/>
      <w:marRight w:val="0"/>
      <w:marTop w:val="0"/>
      <w:marBottom w:val="0"/>
      <w:divBdr>
        <w:top w:val="none" w:sz="0" w:space="0" w:color="auto"/>
        <w:left w:val="none" w:sz="0" w:space="0" w:color="auto"/>
        <w:bottom w:val="none" w:sz="0" w:space="0" w:color="auto"/>
        <w:right w:val="none" w:sz="0" w:space="0" w:color="auto"/>
      </w:divBdr>
      <w:divsChild>
        <w:div w:id="1850022787">
          <w:marLeft w:val="0"/>
          <w:marRight w:val="0"/>
          <w:marTop w:val="0"/>
          <w:marBottom w:val="0"/>
          <w:divBdr>
            <w:top w:val="none" w:sz="0" w:space="0" w:color="auto"/>
            <w:left w:val="none" w:sz="0" w:space="0" w:color="auto"/>
            <w:bottom w:val="none" w:sz="0" w:space="0" w:color="auto"/>
            <w:right w:val="none" w:sz="0" w:space="0" w:color="auto"/>
          </w:divBdr>
        </w:div>
        <w:div w:id="1851724047">
          <w:marLeft w:val="0"/>
          <w:marRight w:val="0"/>
          <w:marTop w:val="0"/>
          <w:marBottom w:val="0"/>
          <w:divBdr>
            <w:top w:val="none" w:sz="0" w:space="0" w:color="auto"/>
            <w:left w:val="none" w:sz="0" w:space="0" w:color="auto"/>
            <w:bottom w:val="none" w:sz="0" w:space="0" w:color="auto"/>
            <w:right w:val="none" w:sz="0" w:space="0" w:color="auto"/>
          </w:divBdr>
        </w:div>
        <w:div w:id="2086028412">
          <w:marLeft w:val="0"/>
          <w:marRight w:val="0"/>
          <w:marTop w:val="0"/>
          <w:marBottom w:val="0"/>
          <w:divBdr>
            <w:top w:val="none" w:sz="0" w:space="0" w:color="auto"/>
            <w:left w:val="none" w:sz="0" w:space="0" w:color="auto"/>
            <w:bottom w:val="none" w:sz="0" w:space="0" w:color="auto"/>
            <w:right w:val="none" w:sz="0" w:space="0" w:color="auto"/>
          </w:divBdr>
        </w:div>
      </w:divsChild>
    </w:div>
    <w:div w:id="1706827192">
      <w:bodyDiv w:val="1"/>
      <w:marLeft w:val="0"/>
      <w:marRight w:val="0"/>
      <w:marTop w:val="0"/>
      <w:marBottom w:val="0"/>
      <w:divBdr>
        <w:top w:val="none" w:sz="0" w:space="0" w:color="auto"/>
        <w:left w:val="none" w:sz="0" w:space="0" w:color="auto"/>
        <w:bottom w:val="none" w:sz="0" w:space="0" w:color="auto"/>
        <w:right w:val="none" w:sz="0" w:space="0" w:color="auto"/>
      </w:divBdr>
    </w:div>
    <w:div w:id="18558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k.pl/programy-i-fundusze/fundusze/fundusze-europejskie/projekty/fundusze-europejskie-dla-regionow-2021-2027/dokumenty-do-pobran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PL/TXT/HTML/?uri=CELEX:52016XC0719(05)"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BD5C8-5127-41BB-B0B4-6EBEF0EE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4911</Words>
  <Characters>29468</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Baczewski, Jacek</dc:creator>
  <cp:keywords/>
  <dc:description/>
  <cp:lastModifiedBy>Patrycja Wójcik</cp:lastModifiedBy>
  <cp:revision>18</cp:revision>
  <cp:lastPrinted>2026-06-16T10:20:00Z</cp:lastPrinted>
  <dcterms:created xsi:type="dcterms:W3CDTF">2026-04-09T08:14:00Z</dcterms:created>
  <dcterms:modified xsi:type="dcterms:W3CDTF">2026-06-16T10:20:00Z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Krzysztof.Lesniak@bgk.pl</vt:lpwstr>
  </property>
  <property fmtid="{D5CDD505-2E9C-101B-9397-08002B2CF9AE}" pid="5" name="MSIP_Label_ffd642cb-f5ac-4f9c-8f91-3377ed972e0d_SetDate">
    <vt:lpwstr>2018-11-14T11:54:27.3499546Z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2021-11-22T15:34:51Z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