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85AB" w14:textId="2D59C927" w:rsidR="00CF2E1C" w:rsidRPr="00E90BF7" w:rsidRDefault="00CF2E1C" w:rsidP="00CF2E1C">
      <w:pPr>
        <w:widowControl w:val="0"/>
        <w:suppressAutoHyphens/>
        <w:spacing w:after="0" w:line="240" w:lineRule="auto"/>
        <w:ind w:right="879"/>
        <w:rPr>
          <w:rFonts w:cs="Calibri"/>
          <w:i/>
        </w:rPr>
      </w:pPr>
      <w:r w:rsidRPr="00E90BF7">
        <w:rPr>
          <w:rFonts w:cs="Calibri"/>
          <w:i/>
        </w:rPr>
        <w:t xml:space="preserve">Załącznik nr 2 do Uchwały nr </w:t>
      </w:r>
      <w:r w:rsidR="00E90BF7" w:rsidRPr="00E90BF7">
        <w:rPr>
          <w:rFonts w:cs="Calibri"/>
          <w:i/>
        </w:rPr>
        <w:t>3</w:t>
      </w:r>
      <w:r w:rsidR="0041697D">
        <w:rPr>
          <w:rFonts w:cs="Calibri"/>
          <w:i/>
        </w:rPr>
        <w:t>1</w:t>
      </w:r>
      <w:r w:rsidRPr="00E90BF7">
        <w:rPr>
          <w:rFonts w:cs="Calibri"/>
          <w:i/>
        </w:rPr>
        <w:t xml:space="preserve">/2026 </w:t>
      </w:r>
      <w:r w:rsidRPr="00E90BF7">
        <w:rPr>
          <w:rFonts w:cs="Calibri"/>
          <w:i/>
        </w:rPr>
        <w:br/>
        <w:t xml:space="preserve">Rady Nadzorczej SFR Sp. z o.o.  </w:t>
      </w:r>
    </w:p>
    <w:p w14:paraId="5D6FD0E1" w14:textId="7B47E011" w:rsidR="00CF2E1C" w:rsidRPr="00E90BF7" w:rsidRDefault="00CF2E1C" w:rsidP="00CF2E1C">
      <w:pPr>
        <w:widowControl w:val="0"/>
        <w:suppressAutoHyphens/>
        <w:spacing w:after="0" w:line="240" w:lineRule="auto"/>
        <w:ind w:right="879"/>
        <w:rPr>
          <w:rFonts w:cs="Calibri"/>
          <w:i/>
        </w:rPr>
      </w:pPr>
      <w:r w:rsidRPr="00E90BF7">
        <w:rPr>
          <w:rFonts w:cs="Calibri"/>
          <w:i/>
        </w:rPr>
        <w:t xml:space="preserve">z dnia </w:t>
      </w:r>
      <w:r w:rsidR="00E90BF7" w:rsidRPr="00E90BF7">
        <w:rPr>
          <w:rFonts w:cs="Calibri"/>
          <w:i/>
        </w:rPr>
        <w:t>24 czerwca</w:t>
      </w:r>
      <w:r w:rsidRPr="00E90BF7">
        <w:rPr>
          <w:rFonts w:cs="Calibri"/>
          <w:i/>
        </w:rPr>
        <w:t xml:space="preserve"> 2026 r.</w:t>
      </w:r>
    </w:p>
    <w:p w14:paraId="0932F7C8" w14:textId="25AD26F9" w:rsidR="00CF2E1C" w:rsidRDefault="00CF2E1C" w:rsidP="00CF2E1C">
      <w:pPr>
        <w:widowControl w:val="0"/>
        <w:suppressAutoHyphens/>
        <w:spacing w:before="120" w:after="0"/>
        <w:ind w:right="880"/>
        <w:rPr>
          <w:rFonts w:cs="Calibri"/>
          <w:i/>
        </w:rPr>
      </w:pPr>
    </w:p>
    <w:p w14:paraId="7BC5FB8D" w14:textId="46E1605F" w:rsidR="00CF2E1C" w:rsidRPr="00CF2E1C" w:rsidRDefault="00CF2E1C" w:rsidP="00CF2E1C">
      <w:pPr>
        <w:widowControl w:val="0"/>
        <w:suppressAutoHyphens/>
        <w:spacing w:before="120" w:after="0"/>
        <w:ind w:right="851"/>
        <w:rPr>
          <w:rFonts w:cs="Calibri"/>
          <w:i/>
        </w:rPr>
      </w:pPr>
      <w:r w:rsidRPr="00CF2E1C">
        <w:rPr>
          <w:rFonts w:cs="Calibri"/>
          <w:i/>
        </w:rPr>
        <w:t>Załącznik nr 1 do Regulaminu udzielania przez</w:t>
      </w:r>
      <w:r>
        <w:rPr>
          <w:rFonts w:cs="Calibri"/>
          <w:i/>
        </w:rPr>
        <w:t xml:space="preserve"> </w:t>
      </w:r>
      <w:r w:rsidRPr="00CF2E1C">
        <w:rPr>
          <w:rFonts w:cs="Calibri"/>
          <w:i/>
        </w:rPr>
        <w:t xml:space="preserve">Świętokrzyski Fundusz Rozwoju </w:t>
      </w:r>
      <w:r>
        <w:rPr>
          <w:rFonts w:cs="Calibri"/>
          <w:i/>
        </w:rPr>
        <w:br/>
      </w:r>
      <w:r w:rsidRPr="00CF2E1C">
        <w:rPr>
          <w:rFonts w:cs="Calibri"/>
          <w:i/>
        </w:rPr>
        <w:t>Spółka z ograniczoną odpowiedzialnością</w:t>
      </w:r>
      <w:r>
        <w:rPr>
          <w:rFonts w:cs="Calibri"/>
          <w:i/>
        </w:rPr>
        <w:t xml:space="preserve"> </w:t>
      </w:r>
      <w:r w:rsidRPr="00CF2E1C">
        <w:rPr>
          <w:rFonts w:cs="Calibri"/>
          <w:i/>
        </w:rPr>
        <w:t xml:space="preserve">Pożyczek dla MŚP </w:t>
      </w:r>
      <w:r>
        <w:rPr>
          <w:rFonts w:cs="Calibri"/>
          <w:i/>
        </w:rPr>
        <w:br/>
      </w:r>
      <w:r w:rsidRPr="00CF2E1C">
        <w:rPr>
          <w:rFonts w:cs="Calibri"/>
          <w:i/>
        </w:rPr>
        <w:t>w ramach Funduszu Powierniczego Województwa Świętokrzyskiego</w:t>
      </w:r>
    </w:p>
    <w:p w14:paraId="0CDACE93" w14:textId="51CE8B61" w:rsidR="00F47F84" w:rsidRPr="00134F92" w:rsidRDefault="00C73BC9" w:rsidP="005F166D">
      <w:pPr>
        <w:pStyle w:val="Akapitzlist"/>
        <w:widowControl w:val="0"/>
        <w:suppressAutoHyphens/>
        <w:spacing w:before="120" w:after="0"/>
        <w:contextualSpacing w:val="0"/>
        <w:jc w:val="right"/>
        <w:rPr>
          <w:rFonts w:cs="Calibri"/>
          <w:i/>
        </w:rPr>
      </w:pPr>
      <w:r w:rsidRPr="00C73BC9">
        <w:rPr>
          <w:rFonts w:cs="Calibri"/>
          <w:i/>
        </w:rPr>
        <w:t xml:space="preserve">Załącznik nr 2 do Aneksu nr </w:t>
      </w:r>
      <w:r>
        <w:rPr>
          <w:rFonts w:cs="Calibri"/>
          <w:i/>
        </w:rPr>
        <w:t>1</w:t>
      </w:r>
      <w:r>
        <w:rPr>
          <w:rFonts w:cs="Calibri"/>
          <w:i/>
        </w:rPr>
        <w:br/>
      </w:r>
      <w:r w:rsidR="003D672E" w:rsidRPr="00134F92">
        <w:rPr>
          <w:rFonts w:cs="Calibri"/>
          <w:i/>
        </w:rPr>
        <w:t xml:space="preserve"> </w:t>
      </w:r>
      <w:r w:rsidR="00F47F84" w:rsidRPr="00134F92">
        <w:rPr>
          <w:rFonts w:cs="Calibri"/>
          <w:i/>
        </w:rPr>
        <w:t xml:space="preserve">Załącznik nr </w:t>
      </w:r>
      <w:r w:rsidR="008A663E" w:rsidRPr="00134F92">
        <w:rPr>
          <w:rFonts w:cs="Calibri"/>
          <w:i/>
        </w:rPr>
        <w:t>9</w:t>
      </w:r>
      <w:r w:rsidR="003D1FDD" w:rsidRPr="00134F92">
        <w:rPr>
          <w:rFonts w:cs="Calibri"/>
          <w:i/>
        </w:rPr>
        <w:t xml:space="preserve"> </w:t>
      </w:r>
      <w:r w:rsidR="00F47F84" w:rsidRPr="00134F92">
        <w:rPr>
          <w:rFonts w:cs="Calibri"/>
          <w:i/>
        </w:rPr>
        <w:t xml:space="preserve">do Umowy Operacyjnej </w:t>
      </w:r>
      <w:r w:rsidR="006F0A36" w:rsidRPr="00134F92">
        <w:rPr>
          <w:rFonts w:cs="Calibri"/>
          <w:i/>
        </w:rPr>
        <w:t xml:space="preserve">nr </w:t>
      </w:r>
      <w:r w:rsidR="00E96E61" w:rsidRPr="00E96E61">
        <w:rPr>
          <w:rFonts w:cs="Calibri"/>
          <w:i/>
        </w:rPr>
        <w:t>2/FESW/2625/2025/I/EFRR/290</w:t>
      </w:r>
      <w:r w:rsidR="00F47F84" w:rsidRPr="00134F92">
        <w:rPr>
          <w:rFonts w:cs="Calibri"/>
          <w:i/>
        </w:rPr>
        <w:t xml:space="preserve"> </w:t>
      </w:r>
    </w:p>
    <w:p w14:paraId="6524C7A7" w14:textId="77777777" w:rsidR="007B7928" w:rsidRPr="00134F92" w:rsidRDefault="007B7928" w:rsidP="005F166D">
      <w:pPr>
        <w:pStyle w:val="Akapitzlist"/>
        <w:widowControl w:val="0"/>
        <w:suppressAutoHyphens/>
        <w:spacing w:before="120" w:after="0"/>
        <w:contextualSpacing w:val="0"/>
        <w:jc w:val="both"/>
        <w:rPr>
          <w:rFonts w:cs="Calibri"/>
          <w:b/>
        </w:rPr>
      </w:pPr>
    </w:p>
    <w:p w14:paraId="23F608FC" w14:textId="1AB5897E" w:rsidR="005F3EAE" w:rsidRPr="00134F92" w:rsidRDefault="008A663E" w:rsidP="005F166D">
      <w:pPr>
        <w:pStyle w:val="Akapitzlist"/>
        <w:widowControl w:val="0"/>
        <w:suppressAutoHyphens/>
        <w:spacing w:before="120" w:after="0"/>
        <w:ind w:left="0"/>
        <w:contextualSpacing w:val="0"/>
        <w:jc w:val="center"/>
        <w:rPr>
          <w:rFonts w:cs="Calibri"/>
          <w:b/>
        </w:rPr>
      </w:pPr>
      <w:r w:rsidRPr="00134F92">
        <w:rPr>
          <w:rFonts w:cs="Calibri"/>
          <w:b/>
        </w:rPr>
        <w:t>Karta Produktu</w:t>
      </w:r>
      <w:r w:rsidR="00516E33">
        <w:rPr>
          <w:rFonts w:cs="Calibri"/>
          <w:b/>
        </w:rPr>
        <w:t xml:space="preserve"> </w:t>
      </w:r>
      <w:r w:rsidR="00EE5106" w:rsidRPr="00134F92">
        <w:rPr>
          <w:rFonts w:cs="Calibri"/>
          <w:b/>
        </w:rPr>
        <w:t>Pożyczka</w:t>
      </w:r>
      <w:r w:rsidR="006B7F73" w:rsidRPr="00134F92">
        <w:rPr>
          <w:rFonts w:cs="Calibri"/>
          <w:b/>
        </w:rPr>
        <w:t xml:space="preserve"> </w:t>
      </w:r>
      <w:r w:rsidR="00573F63">
        <w:rPr>
          <w:rFonts w:cs="Calibri"/>
          <w:b/>
        </w:rPr>
        <w:t>dla MŚP</w:t>
      </w:r>
    </w:p>
    <w:p w14:paraId="30C35E6D" w14:textId="77777777" w:rsidR="00AD1A5D" w:rsidRPr="00134F92" w:rsidRDefault="00AD1A5D" w:rsidP="005F166D">
      <w:pPr>
        <w:pStyle w:val="Akapitzlist"/>
        <w:widowControl w:val="0"/>
        <w:suppressAutoHyphens/>
        <w:spacing w:before="120" w:after="0"/>
        <w:ind w:left="0"/>
        <w:contextualSpacing w:val="0"/>
        <w:jc w:val="both"/>
        <w:rPr>
          <w:rFonts w:cs="Calibri"/>
        </w:rPr>
      </w:pPr>
    </w:p>
    <w:p w14:paraId="79970E77" w14:textId="674F746C" w:rsidR="007678C3" w:rsidRPr="00134F92" w:rsidRDefault="007678C3" w:rsidP="005F166D">
      <w:pPr>
        <w:pStyle w:val="Akapitzlist"/>
        <w:widowControl w:val="0"/>
        <w:numPr>
          <w:ilvl w:val="0"/>
          <w:numId w:val="3"/>
        </w:numPr>
        <w:suppressAutoHyphens/>
        <w:spacing w:before="120" w:after="0"/>
        <w:ind w:left="425" w:hanging="425"/>
        <w:contextualSpacing w:val="0"/>
        <w:jc w:val="both"/>
        <w:rPr>
          <w:rFonts w:cs="Calibri"/>
          <w:b/>
        </w:rPr>
      </w:pPr>
      <w:r w:rsidRPr="00134F92">
        <w:rPr>
          <w:rFonts w:cs="Calibri"/>
          <w:b/>
        </w:rPr>
        <w:t xml:space="preserve">Podstawowe parametry </w:t>
      </w:r>
      <w:r w:rsidR="00EE5106" w:rsidRPr="00134F92">
        <w:rPr>
          <w:rFonts w:cs="Calibri"/>
          <w:b/>
        </w:rPr>
        <w:t>P</w:t>
      </w:r>
      <w:r w:rsidR="00516E33">
        <w:rPr>
          <w:rFonts w:cs="Calibri"/>
          <w:b/>
        </w:rPr>
        <w:t>ożyczki dla MŚP</w:t>
      </w:r>
    </w:p>
    <w:p w14:paraId="64D5B489" w14:textId="7DA78032" w:rsidR="00C45623" w:rsidRDefault="007678C3" w:rsidP="005F166D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color w:val="000000" w:themeColor="text1"/>
        </w:rPr>
      </w:pPr>
      <w:r w:rsidRPr="00134F92">
        <w:rPr>
          <w:rFonts w:cs="Calibri"/>
        </w:rPr>
        <w:t xml:space="preserve">Wartość </w:t>
      </w:r>
      <w:r w:rsidR="00EE5106" w:rsidRPr="00134F92">
        <w:rPr>
          <w:rFonts w:cs="Calibri"/>
        </w:rPr>
        <w:t>P</w:t>
      </w:r>
      <w:r w:rsidRPr="00134F92">
        <w:rPr>
          <w:rFonts w:cs="Calibri"/>
        </w:rPr>
        <w:t xml:space="preserve">ożyczki </w:t>
      </w:r>
      <w:r w:rsidR="002F2365" w:rsidRPr="00134F92">
        <w:rPr>
          <w:rFonts w:cs="Calibri"/>
        </w:rPr>
        <w:t xml:space="preserve">wynosi do </w:t>
      </w:r>
      <w:r w:rsidR="00EB7A82" w:rsidRPr="00134F92">
        <w:rPr>
          <w:rFonts w:cs="Calibri"/>
        </w:rPr>
        <w:t>1</w:t>
      </w:r>
      <w:r w:rsidR="00573F63">
        <w:rPr>
          <w:rFonts w:cs="Calibri"/>
        </w:rPr>
        <w:t> 7</w:t>
      </w:r>
      <w:r w:rsidR="006B7F73" w:rsidRPr="00134F92">
        <w:rPr>
          <w:rFonts w:cs="Calibri"/>
        </w:rPr>
        <w:t xml:space="preserve">00 000,00 </w:t>
      </w:r>
      <w:r w:rsidR="009D2638" w:rsidRPr="00134F92">
        <w:rPr>
          <w:rFonts w:cs="Calibri"/>
        </w:rPr>
        <w:t>PLN</w:t>
      </w:r>
      <w:r w:rsidR="00516E33">
        <w:rPr>
          <w:rFonts w:cs="Calibri"/>
        </w:rPr>
        <w:t xml:space="preserve">, </w:t>
      </w:r>
      <w:r w:rsidR="00516E33" w:rsidRPr="00094EF7">
        <w:rPr>
          <w:color w:val="000000" w:themeColor="text1"/>
        </w:rPr>
        <w:t>z zastrzeżeniem</w:t>
      </w:r>
      <w:r w:rsidR="00516E33">
        <w:rPr>
          <w:color w:val="000000" w:themeColor="text1"/>
        </w:rPr>
        <w:t>, że łą</w:t>
      </w:r>
      <w:r w:rsidR="00516E33" w:rsidRPr="00094EF7">
        <w:rPr>
          <w:color w:val="000000" w:themeColor="text1"/>
        </w:rPr>
        <w:t>czna wartość Jednostkowych Pożyczek udzielonych jednemu Ostatecznemu Odbiorcy nie może przekraczać 1 700 000,00 zł.</w:t>
      </w:r>
    </w:p>
    <w:p w14:paraId="141F3FB9" w14:textId="577F848E" w:rsidR="00516E33" w:rsidRPr="00516E33" w:rsidRDefault="00573F63" w:rsidP="005F166D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color w:val="000000" w:themeColor="text1"/>
        </w:rPr>
      </w:pPr>
      <w:r w:rsidRPr="00F854F4">
        <w:t xml:space="preserve">Wkład własny </w:t>
      </w:r>
      <w:r>
        <w:t xml:space="preserve">Pożyczkobiorcy </w:t>
      </w:r>
      <w:r w:rsidRPr="00F854F4">
        <w:t>nie jest wymagany.</w:t>
      </w:r>
    </w:p>
    <w:p w14:paraId="00F4A048" w14:textId="6A23D9AD" w:rsidR="00516E33" w:rsidRPr="00516E33" w:rsidRDefault="00516E33" w:rsidP="005F166D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color w:val="000000" w:themeColor="text1"/>
        </w:rPr>
      </w:pPr>
      <w:r w:rsidRPr="00F854F4">
        <w:t xml:space="preserve">Maksymalny termin na wypłatę całkowitej kwoty </w:t>
      </w:r>
      <w:r>
        <w:t xml:space="preserve">Pożyczki przez </w:t>
      </w:r>
      <w:bookmarkStart w:id="0" w:name="_Hlk204765008"/>
      <w:bookmarkStart w:id="1" w:name="_Hlk204083830"/>
      <w:r w:rsidR="00034C1E">
        <w:t>Świętokrzyski Fundusz Rozwoju Sp. z o. o.</w:t>
      </w:r>
      <w:bookmarkEnd w:id="0"/>
      <w:r>
        <w:t xml:space="preserve"> </w:t>
      </w:r>
      <w:bookmarkEnd w:id="1"/>
      <w:r>
        <w:t>wynosi</w:t>
      </w:r>
      <w:r w:rsidRPr="00F854F4">
        <w:t xml:space="preserve"> </w:t>
      </w:r>
      <w:r>
        <w:t xml:space="preserve">90 </w:t>
      </w:r>
      <w:r w:rsidRPr="00F854F4">
        <w:t>dni k</w:t>
      </w:r>
      <w:r>
        <w:t>alendarzowych od dnia zawarcia u</w:t>
      </w:r>
      <w:r w:rsidRPr="00F854F4">
        <w:t xml:space="preserve">mowy </w:t>
      </w:r>
      <w:r>
        <w:t>Pożyczki</w:t>
      </w:r>
      <w:r w:rsidRPr="00F854F4">
        <w:t xml:space="preserve">. </w:t>
      </w:r>
    </w:p>
    <w:p w14:paraId="2F18797D" w14:textId="238C0AB7" w:rsidR="005E0CB1" w:rsidRPr="00516E33" w:rsidRDefault="00097D21" w:rsidP="005F166D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color w:val="000000" w:themeColor="text1"/>
        </w:rPr>
      </w:pPr>
      <w:r w:rsidRPr="00516E33">
        <w:rPr>
          <w:rFonts w:cs="Calibri"/>
        </w:rPr>
        <w:t xml:space="preserve">Maksymalny okres spłaty </w:t>
      </w:r>
      <w:r w:rsidR="00EE5106" w:rsidRPr="00516E33">
        <w:rPr>
          <w:rFonts w:cs="Calibri"/>
        </w:rPr>
        <w:t>Pożyczki</w:t>
      </w:r>
      <w:r w:rsidRPr="00516E33">
        <w:rPr>
          <w:rFonts w:cs="Calibri"/>
        </w:rPr>
        <w:t xml:space="preserve"> </w:t>
      </w:r>
      <w:r w:rsidR="00121F2F" w:rsidRPr="00516E33">
        <w:rPr>
          <w:rFonts w:cs="Calibri"/>
        </w:rPr>
        <w:t xml:space="preserve">określony w </w:t>
      </w:r>
      <w:r w:rsidR="00606373" w:rsidRPr="00516E33">
        <w:rPr>
          <w:rFonts w:cs="Calibri"/>
        </w:rPr>
        <w:t>umowie pożyczki</w:t>
      </w:r>
      <w:r w:rsidR="00121F2F" w:rsidRPr="00516E33">
        <w:rPr>
          <w:rFonts w:cs="Calibri"/>
        </w:rPr>
        <w:t xml:space="preserve"> </w:t>
      </w:r>
      <w:r w:rsidRPr="00516E33">
        <w:rPr>
          <w:rFonts w:cs="Calibri"/>
        </w:rPr>
        <w:t xml:space="preserve">nie może być dłuższy niż </w:t>
      </w:r>
      <w:r w:rsidR="00573F63" w:rsidRPr="00516E33">
        <w:rPr>
          <w:rFonts w:cs="Calibri"/>
        </w:rPr>
        <w:t>60</w:t>
      </w:r>
      <w:r w:rsidR="006D5C4B" w:rsidRPr="00516E33">
        <w:rPr>
          <w:rFonts w:cs="Calibri"/>
        </w:rPr>
        <w:t xml:space="preserve"> </w:t>
      </w:r>
      <w:r w:rsidR="00573F63" w:rsidRPr="00516E33">
        <w:rPr>
          <w:rFonts w:cs="Calibri"/>
        </w:rPr>
        <w:t>miesięcy</w:t>
      </w:r>
      <w:r w:rsidR="00AE7DAF" w:rsidRPr="00516E33">
        <w:rPr>
          <w:rFonts w:cs="Calibri"/>
        </w:rPr>
        <w:t xml:space="preserve"> od</w:t>
      </w:r>
      <w:r w:rsidR="00AD1A5D" w:rsidRPr="00516E33">
        <w:rPr>
          <w:rFonts w:cs="Calibri"/>
        </w:rPr>
        <w:t> </w:t>
      </w:r>
      <w:r w:rsidR="00AE7DAF" w:rsidRPr="00516E33">
        <w:rPr>
          <w:rFonts w:cs="Calibri"/>
        </w:rPr>
        <w:t>momentu jej uruchomienia</w:t>
      </w:r>
      <w:r w:rsidR="00854DE4" w:rsidRPr="00516E33">
        <w:rPr>
          <w:rFonts w:cs="Calibri"/>
        </w:rPr>
        <w:t xml:space="preserve">, tj. wypłaty jakiejkolwiek kwoty </w:t>
      </w:r>
      <w:r w:rsidR="00EE5106" w:rsidRPr="00516E33">
        <w:rPr>
          <w:rFonts w:cs="Calibri"/>
        </w:rPr>
        <w:t>Pożyczki</w:t>
      </w:r>
      <w:r w:rsidRPr="00516E33">
        <w:rPr>
          <w:rFonts w:cs="Calibri"/>
        </w:rPr>
        <w:t>.</w:t>
      </w:r>
      <w:r w:rsidR="00C70C76" w:rsidRPr="00516E33">
        <w:rPr>
          <w:rFonts w:cs="Calibri"/>
        </w:rPr>
        <w:t xml:space="preserve"> </w:t>
      </w:r>
    </w:p>
    <w:p w14:paraId="63752709" w14:textId="710789C2" w:rsidR="00CC1E53" w:rsidRPr="00516E33" w:rsidRDefault="00CC1E53" w:rsidP="005F166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color w:val="000000" w:themeColor="text1"/>
        </w:rPr>
      </w:pPr>
      <w:r w:rsidRPr="00516E33">
        <w:rPr>
          <w:rFonts w:cs="Calibri"/>
        </w:rPr>
        <w:t>Maksymalna karencja w spłacie</w:t>
      </w:r>
      <w:r w:rsidR="001A127E" w:rsidRPr="00516E33">
        <w:rPr>
          <w:rFonts w:cs="Calibri"/>
        </w:rPr>
        <w:t xml:space="preserve"> kapitału</w:t>
      </w:r>
      <w:r w:rsidRPr="00516E33">
        <w:rPr>
          <w:rFonts w:cs="Calibri"/>
        </w:rPr>
        <w:t xml:space="preserve"> </w:t>
      </w:r>
      <w:r w:rsidR="00EE5106" w:rsidRPr="00516E33">
        <w:rPr>
          <w:rFonts w:cs="Calibri"/>
        </w:rPr>
        <w:t>Pożyczki</w:t>
      </w:r>
      <w:r w:rsidRPr="00516E33">
        <w:rPr>
          <w:rFonts w:cs="Calibri"/>
        </w:rPr>
        <w:t xml:space="preserve"> wynosi </w:t>
      </w:r>
      <w:r w:rsidR="00573F63" w:rsidRPr="00516E33">
        <w:rPr>
          <w:rFonts w:cs="Calibri"/>
        </w:rPr>
        <w:t>6</w:t>
      </w:r>
      <w:r w:rsidRPr="00516E33">
        <w:rPr>
          <w:rFonts w:cs="Calibri"/>
        </w:rPr>
        <w:t xml:space="preserve"> miesięcy</w:t>
      </w:r>
      <w:r w:rsidR="006856FE" w:rsidRPr="00516E33">
        <w:rPr>
          <w:rFonts w:cs="Calibri"/>
        </w:rPr>
        <w:t xml:space="preserve"> od dnia jej uruchomienia</w:t>
      </w:r>
      <w:r w:rsidRPr="00516E33">
        <w:rPr>
          <w:rFonts w:cs="Calibri"/>
        </w:rPr>
        <w:t xml:space="preserve">, przy czym karencja nie wydłuża okresu spłaty </w:t>
      </w:r>
      <w:r w:rsidR="00EE5106" w:rsidRPr="00516E33">
        <w:rPr>
          <w:rFonts w:cs="Calibri"/>
        </w:rPr>
        <w:t>Pożyczki</w:t>
      </w:r>
      <w:r w:rsidRPr="00516E33">
        <w:rPr>
          <w:rFonts w:cs="Calibri"/>
        </w:rPr>
        <w:t>.</w:t>
      </w:r>
    </w:p>
    <w:p w14:paraId="2D99DE29" w14:textId="40D3EA9B" w:rsidR="00516E33" w:rsidRPr="003D1369" w:rsidRDefault="003D1369" w:rsidP="005F166D">
      <w:pPr>
        <w:pStyle w:val="Akapitzlist"/>
        <w:keepNext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b/>
        </w:rPr>
      </w:pPr>
      <w:r w:rsidRPr="00512CB3">
        <w:rPr>
          <w:b/>
        </w:rPr>
        <w:t xml:space="preserve">Typy Inwestycji Końcowych możliwe do sfinansowania </w:t>
      </w:r>
    </w:p>
    <w:p w14:paraId="652DDFA9" w14:textId="77777777" w:rsidR="003D1369" w:rsidRPr="003D1369" w:rsidRDefault="003D1369" w:rsidP="005F166D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rPr>
          <w:rFonts w:eastAsia="Times New Roman"/>
          <w:iCs/>
          <w:lang w:eastAsia="pl-PL"/>
        </w:rPr>
      </w:pPr>
      <w:r w:rsidRPr="003D1369">
        <w:rPr>
          <w:rFonts w:eastAsia="Times New Roman"/>
          <w:iCs/>
          <w:lang w:eastAsia="pl-PL"/>
        </w:rPr>
        <w:t>Jednostkowe Pożyczki mogą finansować Inwestycje Końcowe realizowane na terenie województwa świętokrzyskiego, związane z rozwojem i rozbudową firm realizowane m.in. poprzez: zakup maszyn, urządzeń i sprzętu, zakup praw własności intelektualnej, projekty innowacyjne w tym związane z zakupem i wdrożeniem gotowej technologii niewymagającej przeprowadzenia dodatkowych prac B+R lub stanowiącej kontynuację wcześniej przeprowadzonych prac B+R (z wyłączeniem projektów badawczo-wdrożeniowych).</w:t>
      </w:r>
    </w:p>
    <w:p w14:paraId="41E18C3C" w14:textId="48E82EAA" w:rsidR="003D1369" w:rsidRDefault="003D1369" w:rsidP="005F166D">
      <w:pPr>
        <w:pStyle w:val="Akapitzlist"/>
        <w:keepNext/>
        <w:numPr>
          <w:ilvl w:val="0"/>
          <w:numId w:val="7"/>
        </w:numPr>
        <w:spacing w:before="120" w:after="0"/>
        <w:contextualSpacing w:val="0"/>
        <w:jc w:val="both"/>
        <w:rPr>
          <w:rFonts w:eastAsia="Times New Roman"/>
          <w:iCs/>
          <w:lang w:eastAsia="pl-PL"/>
        </w:rPr>
      </w:pPr>
      <w:r w:rsidRPr="00C977B8">
        <w:rPr>
          <w:rFonts w:eastAsia="Times New Roman"/>
          <w:iCs/>
          <w:lang w:eastAsia="pl-PL"/>
        </w:rPr>
        <w:t xml:space="preserve">Pożyczki udzielane są wyłącznie na te elementy </w:t>
      </w:r>
      <w:r>
        <w:rPr>
          <w:rFonts w:eastAsia="Times New Roman"/>
          <w:iCs/>
          <w:lang w:eastAsia="pl-PL"/>
        </w:rPr>
        <w:t>I</w:t>
      </w:r>
      <w:r w:rsidRPr="00C977B8">
        <w:rPr>
          <w:rFonts w:eastAsia="Times New Roman"/>
          <w:iCs/>
          <w:lang w:eastAsia="pl-PL"/>
        </w:rPr>
        <w:t xml:space="preserve">nwestycji, które nie są fizycznie ukończone lub w pełni wdrożone na dzień podjęcia decyzji inwestycyjnej przez </w:t>
      </w:r>
      <w:r w:rsidR="00AB16A0" w:rsidRPr="00AB16A0">
        <w:rPr>
          <w:rFonts w:eastAsia="Times New Roman" w:cs="Calibri"/>
          <w:iCs/>
          <w:lang w:eastAsia="pl-PL"/>
        </w:rPr>
        <w:t>Świętokrzyski Fundusz Rozwoju Sp. z o.</w:t>
      </w:r>
      <w:r w:rsidR="00AB16A0">
        <w:rPr>
          <w:rFonts w:eastAsia="Times New Roman" w:cs="Calibri"/>
          <w:iCs/>
          <w:lang w:eastAsia="pl-PL"/>
        </w:rPr>
        <w:t xml:space="preserve"> </w:t>
      </w:r>
      <w:r w:rsidR="00AB16A0" w:rsidRPr="00AB16A0">
        <w:rPr>
          <w:rFonts w:eastAsia="Times New Roman" w:cs="Calibri"/>
          <w:iCs/>
          <w:lang w:eastAsia="pl-PL"/>
        </w:rPr>
        <w:t>o.</w:t>
      </w:r>
      <w:r w:rsidR="00AB16A0" w:rsidRPr="00AB16A0" w:rsidDel="005B5EFC">
        <w:rPr>
          <w:rFonts w:eastAsia="Times New Roman" w:cs="Calibri"/>
          <w:iCs/>
          <w:lang w:eastAsia="pl-PL"/>
        </w:rPr>
        <w:t xml:space="preserve"> </w:t>
      </w:r>
      <w:r w:rsidRPr="00C977B8">
        <w:rPr>
          <w:rFonts w:eastAsia="Times New Roman"/>
          <w:iCs/>
          <w:lang w:eastAsia="pl-PL"/>
        </w:rPr>
        <w:t xml:space="preserve"> tj. na dzień podjęcia prawnie wiążącego zobowiązania do udzielenia pożyczki</w:t>
      </w:r>
      <w:r>
        <w:rPr>
          <w:rFonts w:eastAsia="Times New Roman"/>
          <w:iCs/>
          <w:lang w:eastAsia="pl-PL"/>
        </w:rPr>
        <w:t>.</w:t>
      </w:r>
    </w:p>
    <w:p w14:paraId="66DE59B0" w14:textId="77777777" w:rsidR="003D1369" w:rsidRPr="00134F92" w:rsidRDefault="003D1369" w:rsidP="005F166D">
      <w:pPr>
        <w:pStyle w:val="Akapitzlist"/>
        <w:widowControl w:val="0"/>
        <w:numPr>
          <w:ilvl w:val="0"/>
          <w:numId w:val="7"/>
        </w:numPr>
        <w:suppressAutoHyphens/>
        <w:spacing w:before="120" w:after="0"/>
        <w:contextualSpacing w:val="0"/>
        <w:jc w:val="both"/>
        <w:rPr>
          <w:rFonts w:eastAsia="Times New Roman" w:cs="Calibri"/>
          <w:iCs/>
          <w:lang w:eastAsia="pl-PL"/>
        </w:rPr>
      </w:pPr>
      <w:r w:rsidRPr="00134F92">
        <w:rPr>
          <w:rFonts w:eastAsia="Times New Roman" w:cs="Calibri"/>
          <w:iCs/>
          <w:lang w:eastAsia="pl-PL"/>
        </w:rPr>
        <w:t>Pożyczka może finansować do 100% wydatków w ramach inwestycji.</w:t>
      </w:r>
    </w:p>
    <w:p w14:paraId="3DFCC01C" w14:textId="321EA150" w:rsidR="003D1369" w:rsidRPr="00134F92" w:rsidRDefault="003D1369" w:rsidP="005F166D">
      <w:pPr>
        <w:pStyle w:val="Akapitzlist"/>
        <w:widowControl w:val="0"/>
        <w:numPr>
          <w:ilvl w:val="0"/>
          <w:numId w:val="7"/>
        </w:numPr>
        <w:suppressAutoHyphens/>
        <w:spacing w:before="120" w:after="0"/>
        <w:contextualSpacing w:val="0"/>
        <w:jc w:val="both"/>
        <w:rPr>
          <w:rFonts w:cs="Calibri"/>
        </w:rPr>
      </w:pPr>
      <w:r w:rsidRPr="00134F92">
        <w:rPr>
          <w:rFonts w:eastAsia="Times New Roman" w:cs="Calibri"/>
          <w:iCs/>
          <w:lang w:eastAsia="pl-PL"/>
        </w:rPr>
        <w:t xml:space="preserve">Z zastrzeżeniem ust. </w:t>
      </w:r>
      <w:r>
        <w:rPr>
          <w:rFonts w:eastAsia="Times New Roman" w:cs="Calibri"/>
          <w:iCs/>
          <w:lang w:eastAsia="pl-PL"/>
        </w:rPr>
        <w:t>5</w:t>
      </w:r>
      <w:r w:rsidRPr="00134F92">
        <w:rPr>
          <w:rFonts w:eastAsia="Times New Roman" w:cs="Calibri"/>
          <w:iCs/>
          <w:lang w:eastAsia="pl-PL"/>
        </w:rPr>
        <w:t xml:space="preserve"> i </w:t>
      </w:r>
      <w:r>
        <w:rPr>
          <w:rFonts w:eastAsia="Times New Roman" w:cs="Calibri"/>
          <w:iCs/>
          <w:lang w:eastAsia="pl-PL"/>
        </w:rPr>
        <w:t>6</w:t>
      </w:r>
      <w:r w:rsidRPr="00134F92">
        <w:rPr>
          <w:rFonts w:eastAsia="Times New Roman" w:cs="Calibri"/>
          <w:iCs/>
          <w:lang w:eastAsia="pl-PL"/>
        </w:rPr>
        <w:t xml:space="preserve">, Pożyczka finansuje wydatki w kwotach brutto, tj. z podatkiem VAT. </w:t>
      </w:r>
    </w:p>
    <w:p w14:paraId="0F30C847" w14:textId="77777777" w:rsidR="003D1369" w:rsidRPr="00134F92" w:rsidRDefault="003D1369" w:rsidP="005F166D">
      <w:pPr>
        <w:pStyle w:val="Akapitzlist"/>
        <w:widowControl w:val="0"/>
        <w:numPr>
          <w:ilvl w:val="0"/>
          <w:numId w:val="7"/>
        </w:numPr>
        <w:suppressAutoHyphens/>
        <w:spacing w:before="120" w:after="0"/>
        <w:contextualSpacing w:val="0"/>
        <w:jc w:val="both"/>
        <w:rPr>
          <w:rFonts w:eastAsia="Times New Roman" w:cs="Calibri"/>
          <w:iCs/>
          <w:lang w:eastAsia="pl-PL"/>
        </w:rPr>
      </w:pPr>
      <w:r w:rsidRPr="00134F92">
        <w:rPr>
          <w:rFonts w:eastAsia="Times New Roman" w:cs="Calibri"/>
          <w:iCs/>
          <w:lang w:eastAsia="pl-PL"/>
        </w:rPr>
        <w:t>Dopuszczalność finansowania podatku VAT w ramach Pożyczki może podlegać dodatkowym ograniczeniom wynikającym z zasad udzielania pomocy publicznej.</w:t>
      </w:r>
    </w:p>
    <w:p w14:paraId="5D800D0E" w14:textId="3D569B55" w:rsidR="003D1369" w:rsidRDefault="003D1369" w:rsidP="005F166D">
      <w:pPr>
        <w:pStyle w:val="Akapitzlist"/>
        <w:widowControl w:val="0"/>
        <w:numPr>
          <w:ilvl w:val="0"/>
          <w:numId w:val="7"/>
        </w:numPr>
        <w:suppressAutoHyphens/>
        <w:spacing w:before="120" w:after="0"/>
        <w:contextualSpacing w:val="0"/>
        <w:jc w:val="both"/>
        <w:rPr>
          <w:rFonts w:eastAsia="Times New Roman" w:cs="Calibri"/>
          <w:iCs/>
          <w:lang w:eastAsia="pl-PL"/>
        </w:rPr>
      </w:pPr>
      <w:r w:rsidRPr="00134F92">
        <w:rPr>
          <w:rFonts w:eastAsia="Times New Roman" w:cs="Calibri"/>
          <w:iCs/>
          <w:lang w:eastAsia="pl-PL"/>
        </w:rPr>
        <w:t xml:space="preserve">W przypadku łączenia Pożyczki z innymi formami wsparcia, należy przestrzegać zasad określonych w </w:t>
      </w:r>
      <w:r w:rsidRPr="00134F92">
        <w:rPr>
          <w:rFonts w:eastAsia="Times New Roman" w:cs="Calibri"/>
          <w:iCs/>
          <w:lang w:eastAsia="pl-PL"/>
        </w:rPr>
        <w:lastRenderedPageBreak/>
        <w:t>sekcji 3.9.3 Wytycznych dotyczących kwalifikowalności wydatków na lata 2021-2027 oraz właściwych przepisów dotyczących pomocy publicznej.</w:t>
      </w:r>
    </w:p>
    <w:p w14:paraId="5B698A06" w14:textId="77777777" w:rsidR="003D1369" w:rsidRPr="00512CB3" w:rsidRDefault="003D1369" w:rsidP="005F166D">
      <w:pPr>
        <w:pStyle w:val="Akapitzlist"/>
        <w:keepNext/>
        <w:numPr>
          <w:ilvl w:val="0"/>
          <w:numId w:val="8"/>
        </w:numPr>
        <w:spacing w:before="120" w:after="0"/>
        <w:contextualSpacing w:val="0"/>
        <w:jc w:val="both"/>
        <w:rPr>
          <w:b/>
        </w:rPr>
      </w:pPr>
      <w:r w:rsidRPr="00512CB3">
        <w:rPr>
          <w:b/>
        </w:rPr>
        <w:t>Wykluczenia i ograniczenia w finansowaniu</w:t>
      </w:r>
    </w:p>
    <w:p w14:paraId="0AFCEE29" w14:textId="77777777" w:rsidR="0068065B" w:rsidRPr="00512CB3" w:rsidRDefault="0068065B" w:rsidP="005F166D">
      <w:pPr>
        <w:pStyle w:val="Akapitzlist"/>
        <w:numPr>
          <w:ilvl w:val="0"/>
          <w:numId w:val="4"/>
        </w:numPr>
        <w:spacing w:before="120" w:after="0"/>
        <w:ind w:left="425" w:hanging="425"/>
        <w:contextualSpacing w:val="0"/>
        <w:jc w:val="both"/>
      </w:pPr>
      <w:r w:rsidRPr="00512CB3">
        <w:t>Środki z Pożyczki nie mogą być przeznaczone na:</w:t>
      </w:r>
    </w:p>
    <w:p w14:paraId="29287D04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>wydatki i inwestycje objęte wyłączeniem ze wsparcia z Europejskiego Funduszu Rozwoju Regionalnego, wskazanym w art. 7 ust. 1 Rozporządzenia EFRR;</w:t>
      </w:r>
    </w:p>
    <w:p w14:paraId="1150CD76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>wydatki wspierające przeniesienie produkcji, o którym mowa w art. 66 Rozporządzenia Ogólnego;</w:t>
      </w:r>
    </w:p>
    <w:p w14:paraId="63E6D486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>spłatę odsetek od zadłużenia, o których mowa w art. 64 ust. 1 lit. a Rozporządzenia Ogólnego;</w:t>
      </w:r>
    </w:p>
    <w:p w14:paraId="2973FC69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 xml:space="preserve">prefinansowanie wydatków, w części, na którą </w:t>
      </w:r>
      <w:r>
        <w:t>Pożyczkobiorca</w:t>
      </w:r>
      <w:r w:rsidRPr="00512CB3">
        <w:t xml:space="preserve"> otrzymał dofinansowanie w formie dotacji;</w:t>
      </w:r>
    </w:p>
    <w:p w14:paraId="61A718EA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 xml:space="preserve">refinansowanie pożyczek, kredytów, leasingu lub innych form finansowania, z których korzysta </w:t>
      </w:r>
      <w:r>
        <w:t>Pożyczkobiorca</w:t>
      </w:r>
      <w:r w:rsidRPr="00512CB3">
        <w:t>;</w:t>
      </w:r>
    </w:p>
    <w:p w14:paraId="6273C1DE" w14:textId="77777777" w:rsidR="0068065B" w:rsidRPr="00512CB3" w:rsidRDefault="0068065B" w:rsidP="005F166D">
      <w:pPr>
        <w:pStyle w:val="Akapitzlist"/>
        <w:numPr>
          <w:ilvl w:val="0"/>
          <w:numId w:val="5"/>
        </w:numPr>
        <w:spacing w:before="120" w:after="0"/>
        <w:ind w:left="993" w:hanging="426"/>
        <w:contextualSpacing w:val="0"/>
        <w:jc w:val="both"/>
      </w:pPr>
      <w:r w:rsidRPr="00512CB3">
        <w:t>finansowanie zakupu aktywów finansowych przeznaczonych do obrotu lub lokowania kapitału;</w:t>
      </w:r>
    </w:p>
    <w:p w14:paraId="149FDCFE" w14:textId="7A3D0BCE" w:rsidR="0068065B" w:rsidRPr="00C86DA5" w:rsidRDefault="0068065B" w:rsidP="005F166D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ind w:left="992" w:hanging="425"/>
        <w:contextualSpacing w:val="0"/>
        <w:jc w:val="both"/>
      </w:pPr>
      <w:r w:rsidRPr="00C86DA5">
        <w:t>finansowanie zakupu nieruchomości przeznaczonych do obrotu lub stanowiących lokatę kapitału.</w:t>
      </w:r>
    </w:p>
    <w:p w14:paraId="1DE74D3E" w14:textId="60951539" w:rsidR="0068065B" w:rsidRDefault="0068065B" w:rsidP="005F166D">
      <w:pPr>
        <w:pStyle w:val="Akapitzlist"/>
        <w:widowControl w:val="0"/>
        <w:numPr>
          <w:ilvl w:val="0"/>
          <w:numId w:val="9"/>
        </w:numPr>
        <w:shd w:val="clear" w:color="auto" w:fill="FFFFFF" w:themeFill="background1"/>
        <w:suppressAutoHyphens/>
        <w:spacing w:before="120" w:after="0"/>
        <w:ind w:left="357" w:hanging="357"/>
        <w:contextualSpacing w:val="0"/>
        <w:jc w:val="both"/>
        <w:rPr>
          <w:rFonts w:cs="Calibri"/>
        </w:rPr>
      </w:pPr>
      <w:r w:rsidRPr="00C86DA5">
        <w:rPr>
          <w:rFonts w:cs="Calibri"/>
        </w:rPr>
        <w:t>Finansowanie zakupu gruntów niezabudowanych i zabudowanych w ramach finansowanej inwestycji możliwe jest do wysokości 10 % środków wypłaconych na rzecz Pożyczkobiorcy.</w:t>
      </w:r>
    </w:p>
    <w:p w14:paraId="06038226" w14:textId="055E7778" w:rsidR="00637471" w:rsidRPr="00677C62" w:rsidRDefault="00637471" w:rsidP="005F166D">
      <w:pPr>
        <w:pStyle w:val="Akapitzlist"/>
        <w:widowControl w:val="0"/>
        <w:numPr>
          <w:ilvl w:val="0"/>
          <w:numId w:val="9"/>
        </w:numPr>
        <w:suppressAutoHyphens/>
        <w:spacing w:before="120" w:after="0"/>
        <w:ind w:left="357" w:hanging="357"/>
        <w:contextualSpacing w:val="0"/>
        <w:jc w:val="both"/>
        <w:rPr>
          <w:rFonts w:cs="Calibri"/>
        </w:rPr>
      </w:pPr>
      <w:r w:rsidRPr="00677C62">
        <w:rPr>
          <w:color w:val="000000" w:themeColor="text1"/>
        </w:rPr>
        <w:t>Finansowanie kapitału obrotowego jest możliwe wyłącznie, do wysokości 50% Jednostkowej Pożyczki, przy czym przeznaczenie kapitału obrotowego musi być bezpośrednio związane z realizacją Inwestycji Końcowej.</w:t>
      </w:r>
    </w:p>
    <w:p w14:paraId="14FF6E54" w14:textId="77777777" w:rsidR="00FF1C9B" w:rsidRPr="003D77AB" w:rsidRDefault="00FF1C9B" w:rsidP="005F166D">
      <w:pPr>
        <w:spacing w:before="120" w:after="0"/>
        <w:ind w:left="567"/>
        <w:jc w:val="both"/>
        <w:rPr>
          <w:color w:val="000000" w:themeColor="text1"/>
        </w:rPr>
      </w:pPr>
      <w:r w:rsidRPr="003D77AB">
        <w:rPr>
          <w:color w:val="000000" w:themeColor="text1"/>
        </w:rPr>
        <w:t xml:space="preserve">Niedopuszczalne jest finansowanie ze środków pożyczki wydatków obejmujących w szczególności: </w:t>
      </w:r>
    </w:p>
    <w:p w14:paraId="26384B28" w14:textId="43FBB94C" w:rsidR="00FF1C9B" w:rsidRDefault="00FF1C9B" w:rsidP="005F166D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FD42AC">
        <w:rPr>
          <w:color w:val="000000" w:themeColor="text1"/>
        </w:rPr>
        <w:t>ynagrodzenia pracowników (w tym także składowe należne ZUS, US) oraz koszty personelu pracującego na terenie firmy, ale formalnie na liście płac podwykonawców,</w:t>
      </w:r>
    </w:p>
    <w:p w14:paraId="08F11D09" w14:textId="69E93E8C" w:rsidR="00FF1C9B" w:rsidRDefault="00FF1C9B" w:rsidP="005F166D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color w:val="000000" w:themeColor="text1"/>
        </w:rPr>
      </w:pPr>
      <w:r w:rsidRPr="00FF1C9B">
        <w:rPr>
          <w:color w:val="000000" w:themeColor="text1"/>
        </w:rPr>
        <w:t>zobowiązania publiczno-prawne Ostatecznego Odbiorcy.</w:t>
      </w:r>
    </w:p>
    <w:p w14:paraId="61B5CDD5" w14:textId="3886C62F" w:rsidR="00FF1C9B" w:rsidRPr="003D77AB" w:rsidRDefault="00FF1C9B" w:rsidP="005F166D">
      <w:pPr>
        <w:pStyle w:val="Akapitzlist"/>
        <w:numPr>
          <w:ilvl w:val="0"/>
          <w:numId w:val="12"/>
        </w:numPr>
        <w:spacing w:before="120" w:after="0"/>
        <w:ind w:left="357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Wydatkując środki </w:t>
      </w:r>
      <w:r w:rsidRPr="003D77AB">
        <w:rPr>
          <w:color w:val="000000" w:themeColor="text1"/>
        </w:rPr>
        <w:t xml:space="preserve">Pożyczki </w:t>
      </w:r>
      <w:r>
        <w:rPr>
          <w:color w:val="000000" w:themeColor="text1"/>
        </w:rPr>
        <w:t>Pożyczkobiorca</w:t>
      </w:r>
      <w:r w:rsidRPr="003D77AB">
        <w:rPr>
          <w:color w:val="000000" w:themeColor="text1"/>
        </w:rPr>
        <w:t xml:space="preserve"> nie może doprowadzić do wystąpienia przypadku podwójnego – całkowitego albo częściowego – sfinansowania ponoszonych wydatków w ramach różnych funduszy lub instrumentów wsparcia Unii Europejskiej albo z tego samego funduszu polityki spójności.</w:t>
      </w:r>
    </w:p>
    <w:p w14:paraId="169A74AA" w14:textId="77777777" w:rsidR="00FF1C9B" w:rsidRPr="008F07E1" w:rsidRDefault="00FF1C9B" w:rsidP="005F166D">
      <w:pPr>
        <w:pStyle w:val="Akapitzlist"/>
        <w:widowControl w:val="0"/>
        <w:numPr>
          <w:ilvl w:val="0"/>
          <w:numId w:val="11"/>
        </w:numPr>
        <w:suppressAutoHyphens/>
        <w:spacing w:before="120" w:after="0"/>
        <w:ind w:left="357" w:hanging="357"/>
        <w:contextualSpacing w:val="0"/>
        <w:jc w:val="both"/>
        <w:rPr>
          <w:rFonts w:cs="Calibri"/>
          <w:b/>
        </w:rPr>
      </w:pPr>
      <w:r w:rsidRPr="008F07E1">
        <w:rPr>
          <w:rFonts w:cs="Calibri"/>
          <w:b/>
        </w:rPr>
        <w:t>Podstawowe zasady udzielania Pożyczki</w:t>
      </w:r>
    </w:p>
    <w:p w14:paraId="066D7FEE" w14:textId="2FA0C62C" w:rsidR="008F07E1" w:rsidRPr="008F07E1" w:rsidRDefault="008F07E1" w:rsidP="005F166D">
      <w:pPr>
        <w:widowControl w:val="0"/>
        <w:numPr>
          <w:ilvl w:val="0"/>
          <w:numId w:val="13"/>
        </w:numPr>
        <w:suppressAutoHyphens/>
        <w:spacing w:before="120" w:after="0"/>
        <w:jc w:val="both"/>
        <w:rPr>
          <w:rFonts w:cs="Calibri"/>
        </w:rPr>
      </w:pPr>
      <w:r w:rsidRPr="008F07E1">
        <w:rPr>
          <w:rFonts w:cs="Calibri"/>
        </w:rPr>
        <w:t>Udzielenie Pożyczki nie może być uzależnione od zawarcia przez Pożyczkobiorcę z</w:t>
      </w:r>
      <w:r w:rsidR="00AB16A0">
        <w:rPr>
          <w:rFonts w:cs="Calibri"/>
        </w:rPr>
        <w:t>e</w:t>
      </w:r>
      <w:r w:rsidRPr="008F07E1">
        <w:rPr>
          <w:rFonts w:cs="Calibri"/>
        </w:rPr>
        <w:t xml:space="preserve"> </w:t>
      </w:r>
      <w:r w:rsidR="00AB16A0" w:rsidRPr="00AB16A0">
        <w:rPr>
          <w:rFonts w:cs="Calibri"/>
        </w:rPr>
        <w:t>Świętokrzyski</w:t>
      </w:r>
      <w:r w:rsidR="006F434E">
        <w:rPr>
          <w:rFonts w:cs="Calibri"/>
        </w:rPr>
        <w:t>m</w:t>
      </w:r>
      <w:r w:rsidR="00AB16A0" w:rsidRPr="00AB16A0">
        <w:rPr>
          <w:rFonts w:cs="Calibri"/>
        </w:rPr>
        <w:t xml:space="preserve"> Fundusz</w:t>
      </w:r>
      <w:r w:rsidR="00AB16A0">
        <w:rPr>
          <w:rFonts w:cs="Calibri"/>
        </w:rPr>
        <w:t>em</w:t>
      </w:r>
      <w:r w:rsidR="00AB16A0" w:rsidRPr="00AB16A0">
        <w:rPr>
          <w:rFonts w:cs="Calibri"/>
        </w:rPr>
        <w:t xml:space="preserve"> Rozwoju Sp. z o. o.</w:t>
      </w:r>
      <w:r w:rsidR="00AB16A0" w:rsidRPr="00AB16A0" w:rsidDel="005B5EFC">
        <w:rPr>
          <w:rFonts w:cs="Calibri"/>
        </w:rPr>
        <w:t xml:space="preserve"> </w:t>
      </w:r>
      <w:r w:rsidRPr="008F07E1">
        <w:rPr>
          <w:rFonts w:cs="Calibri"/>
        </w:rPr>
        <w:t xml:space="preserve"> ani z podmiotem partnerskim lub powiązanym w stosunku do </w:t>
      </w:r>
      <w:r w:rsidR="00AB16A0" w:rsidRPr="00AB16A0">
        <w:rPr>
          <w:rFonts w:cs="Calibri"/>
        </w:rPr>
        <w:t>Świętokrzyski</w:t>
      </w:r>
      <w:r w:rsidR="00AB16A0">
        <w:rPr>
          <w:rFonts w:cs="Calibri"/>
        </w:rPr>
        <w:t>ego</w:t>
      </w:r>
      <w:r w:rsidR="00AB16A0" w:rsidRPr="00AB16A0">
        <w:rPr>
          <w:rFonts w:cs="Calibri"/>
        </w:rPr>
        <w:t xml:space="preserve"> Fundusz</w:t>
      </w:r>
      <w:r w:rsidR="00AB16A0">
        <w:rPr>
          <w:rFonts w:cs="Calibri"/>
        </w:rPr>
        <w:t>u</w:t>
      </w:r>
      <w:r w:rsidR="00AB16A0" w:rsidRPr="00AB16A0">
        <w:rPr>
          <w:rFonts w:cs="Calibri"/>
        </w:rPr>
        <w:t xml:space="preserve"> Rozwoju Sp. z o. o.</w:t>
      </w:r>
      <w:r w:rsidR="00AB16A0" w:rsidRPr="00AB16A0" w:rsidDel="005B5EFC">
        <w:rPr>
          <w:rFonts w:cs="Calibri"/>
        </w:rPr>
        <w:t xml:space="preserve"> </w:t>
      </w:r>
      <w:r w:rsidRPr="008F07E1">
        <w:rPr>
          <w:rFonts w:cs="Calibri"/>
        </w:rPr>
        <w:t xml:space="preserve">dodatkowych umów, w szczególności na zakup dodatkowych usług, produktów finansowych lub ubezpieczeniowych. Powyższe nie dotyczy powszechnie występujących na rynku oraz standardowo stosowanych przez </w:t>
      </w:r>
      <w:r w:rsidR="00AB16A0" w:rsidRPr="00AB16A0">
        <w:rPr>
          <w:rFonts w:cs="Calibri"/>
        </w:rPr>
        <w:t>Świętokrzyski Fundusz Rozwoju Sp. z o. o.</w:t>
      </w:r>
      <w:r w:rsidR="00AB16A0" w:rsidRPr="00AB16A0" w:rsidDel="005B5EFC">
        <w:rPr>
          <w:rFonts w:cs="Calibri"/>
        </w:rPr>
        <w:t xml:space="preserve"> </w:t>
      </w:r>
      <w:r w:rsidRPr="008F07E1">
        <w:rPr>
          <w:rFonts w:cs="Calibri"/>
        </w:rPr>
        <w:t xml:space="preserve">zabezpieczeń, ustanawianych przez Pożyczkobiorcę na rzecz </w:t>
      </w:r>
      <w:r w:rsidR="00AB16A0" w:rsidRPr="00AB16A0">
        <w:t>Świętokrzyski</w:t>
      </w:r>
      <w:r w:rsidR="00AB16A0">
        <w:t>ego</w:t>
      </w:r>
      <w:r w:rsidR="00AB16A0" w:rsidRPr="00AB16A0">
        <w:t xml:space="preserve"> Fundusz</w:t>
      </w:r>
      <w:r w:rsidR="00AB16A0">
        <w:t>u</w:t>
      </w:r>
      <w:r w:rsidR="00AB16A0" w:rsidRPr="00AB16A0">
        <w:t xml:space="preserve"> Rozwoju Sp. z o. o.</w:t>
      </w:r>
      <w:r w:rsidR="00AB16A0" w:rsidRPr="00AB16A0" w:rsidDel="005B5EFC">
        <w:t xml:space="preserve"> </w:t>
      </w:r>
      <w:r w:rsidRPr="008F07E1">
        <w:rPr>
          <w:rFonts w:cs="Calibri"/>
        </w:rPr>
        <w:t>w związku z zawieraną umową pożyczki, z zastrzeżeniem, iż w przypadku zabezpieczenia takiego jak cesja praw z polisy ubezpieczeniowej Pożyczkobiorca ma możliwość wyboru oferty spośród ubezpieczycieli dostępnych na rynku.</w:t>
      </w:r>
    </w:p>
    <w:p w14:paraId="1111B65C" w14:textId="20CBA89C" w:rsidR="00374B6C" w:rsidRPr="003D77AB" w:rsidRDefault="00374B6C" w:rsidP="005F166D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Wydatkowanie środków</w:t>
      </w:r>
      <w:r w:rsidRPr="003D77AB">
        <w:rPr>
          <w:color w:val="000000" w:themeColor="text1"/>
        </w:rPr>
        <w:t xml:space="preserve"> Pożyczki – na cele, o których mowa w części</w:t>
      </w:r>
      <w:r>
        <w:rPr>
          <w:color w:val="000000" w:themeColor="text1"/>
        </w:rPr>
        <w:t xml:space="preserve"> I</w:t>
      </w:r>
      <w:r w:rsidRPr="003D77AB">
        <w:rPr>
          <w:color w:val="000000" w:themeColor="text1"/>
        </w:rPr>
        <w:t xml:space="preserve">I – musi zostać należycie udokumentowane w terminie do 90 dni od dnia wypłaty całkowitej kwoty Jednostkowej Pożyczki, przy czym termin ten określa datę końcową, do której mogą być wystawiane dokumenty potwierdzające </w:t>
      </w:r>
      <w:r w:rsidRPr="003D77AB">
        <w:rPr>
          <w:color w:val="000000" w:themeColor="text1"/>
        </w:rPr>
        <w:lastRenderedPageBreak/>
        <w:t>wydatkowanie środków. W wyjątkowych i odpowiednio uzasadnionych przypadkach, w tym biorąc pod uwagę charakter Inwestycji Końcowej, na</w:t>
      </w:r>
      <w:r w:rsidR="00677C62">
        <w:rPr>
          <w:color w:val="000000" w:themeColor="text1"/>
        </w:rPr>
        <w:t xml:space="preserve"> wniosek Ostatecznego Odbiorcy, </w:t>
      </w:r>
      <w:r w:rsidR="00AB16A0" w:rsidRPr="00AB16A0">
        <w:rPr>
          <w:rFonts w:cs="Calibri"/>
        </w:rPr>
        <w:t>Świętokrzyski Fundusz Rozwoju Sp. z o. o.</w:t>
      </w:r>
      <w:r w:rsidR="009F6C31" w:rsidRPr="009F6C31">
        <w:rPr>
          <w:rFonts w:cs="Calibri"/>
        </w:rPr>
        <w:t xml:space="preserve"> </w:t>
      </w:r>
      <w:r w:rsidRPr="003D77AB">
        <w:rPr>
          <w:color w:val="000000" w:themeColor="text1"/>
        </w:rPr>
        <w:t>może wydłużyć ten termin maksymalnie o 90 dni.</w:t>
      </w:r>
    </w:p>
    <w:p w14:paraId="4E773B69" w14:textId="467EDF2E" w:rsidR="008F07E1" w:rsidRPr="008F07E1" w:rsidRDefault="008F07E1" w:rsidP="005F166D">
      <w:pPr>
        <w:widowControl w:val="0"/>
        <w:numPr>
          <w:ilvl w:val="0"/>
          <w:numId w:val="13"/>
        </w:numPr>
        <w:suppressAutoHyphens/>
        <w:spacing w:before="120" w:after="0"/>
        <w:ind w:left="426" w:hanging="426"/>
        <w:jc w:val="both"/>
        <w:rPr>
          <w:rFonts w:cs="Calibri"/>
        </w:rPr>
      </w:pPr>
      <w:r w:rsidRPr="008F07E1">
        <w:rPr>
          <w:rFonts w:cs="Calibri"/>
        </w:rPr>
        <w:t xml:space="preserve">Dokumentem potwierdzającym wydatkowanie środków zgodnie z przeznaczeniem, na jakie zostały przyznane, jest faktura lub dokument księgowy o równoważnej wartości dowodowej, wraz z dokumentem potwierdzającym dokonanie zapłaty. W przypadku, gdy część Pożyczki wydatkowana jest na cele inne niż inwestycyjne, dla tej części </w:t>
      </w:r>
      <w:r w:rsidR="00AB16A0" w:rsidRPr="00AB16A0">
        <w:rPr>
          <w:rFonts w:cs="Calibri"/>
        </w:rPr>
        <w:t>Świętokrzyski Fundusz Rozwoju Sp. z o. o.</w:t>
      </w:r>
      <w:r w:rsidR="00AB16A0" w:rsidRPr="00AB16A0" w:rsidDel="009F6C31">
        <w:rPr>
          <w:rFonts w:cs="Calibri"/>
        </w:rPr>
        <w:t xml:space="preserve"> </w:t>
      </w:r>
      <w:r w:rsidRPr="008F07E1">
        <w:rPr>
          <w:rFonts w:cs="Calibri"/>
        </w:rPr>
        <w:t xml:space="preserve"> może pozyskać inne dokumenty niż wskazane w zdaniu poprzedzającym, określone w sekcji 3.9.5 Wytycznych dotyczących kwalifikowalności wydatków na lata 2021-2027. </w:t>
      </w:r>
      <w:r w:rsidR="00AB16A0" w:rsidRPr="00AB16A0">
        <w:rPr>
          <w:rFonts w:cs="Calibri"/>
        </w:rPr>
        <w:t>Świętokrzyski Fundusz Rozwoju Sp. z o. o.</w:t>
      </w:r>
      <w:r w:rsidR="00AB16A0" w:rsidRPr="00AB16A0" w:rsidDel="009F6C31">
        <w:rPr>
          <w:rFonts w:cs="Calibri"/>
        </w:rPr>
        <w:t xml:space="preserve"> </w:t>
      </w:r>
      <w:r w:rsidRPr="008F07E1">
        <w:rPr>
          <w:rFonts w:cs="Calibri"/>
        </w:rPr>
        <w:t>, jeżeli uzna to za zasadne, ma prawo żądać od Pożyczkobiorcy dodatkowych dokumentów potwierdzających realizację Inwestycji lub wydatkowanie Pożyczki zgodnie z celem na jaki została przyznana.</w:t>
      </w:r>
    </w:p>
    <w:p w14:paraId="4F2EFDF1" w14:textId="53B89437" w:rsidR="008F07E1" w:rsidRPr="008F07E1" w:rsidRDefault="008F07E1" w:rsidP="005F166D">
      <w:pPr>
        <w:widowControl w:val="0"/>
        <w:numPr>
          <w:ilvl w:val="0"/>
          <w:numId w:val="13"/>
        </w:numPr>
        <w:suppressAutoHyphens/>
        <w:spacing w:before="120" w:after="0"/>
        <w:jc w:val="both"/>
        <w:rPr>
          <w:rFonts w:cs="Calibri"/>
        </w:rPr>
      </w:pPr>
      <w:r w:rsidRPr="008F07E1">
        <w:rPr>
          <w:rFonts w:cs="Calibri"/>
        </w:rPr>
        <w:t xml:space="preserve">Wraz z dokumentami, o których mowa w ust. </w:t>
      </w:r>
      <w:r w:rsidR="00436864">
        <w:rPr>
          <w:rFonts w:cs="Calibri"/>
        </w:rPr>
        <w:t xml:space="preserve">2 i </w:t>
      </w:r>
      <w:r w:rsidRPr="008F07E1">
        <w:rPr>
          <w:rFonts w:cs="Calibri"/>
        </w:rPr>
        <w:t xml:space="preserve">3 powyżej, </w:t>
      </w:r>
      <w:r w:rsidR="00AB16A0" w:rsidRPr="00AB16A0">
        <w:rPr>
          <w:rFonts w:cs="Calibri"/>
        </w:rPr>
        <w:t>Świętokrzyski Fundusz Rozwoju Sp. z o. o.</w:t>
      </w:r>
      <w:r w:rsidR="00AB16A0" w:rsidRPr="00AB16A0" w:rsidDel="009F6C31">
        <w:rPr>
          <w:rFonts w:cs="Calibri"/>
        </w:rPr>
        <w:t xml:space="preserve"> </w:t>
      </w:r>
      <w:r w:rsidRPr="008F07E1">
        <w:rPr>
          <w:rFonts w:cs="Calibri"/>
        </w:rPr>
        <w:t xml:space="preserve">pozyskuje od Pożyczkobiorcy informacje na temat wysokości wniesionego przez niego wkładu własnego do inwestycji (jeśli został wniesiony). Informacja ta może zostać pozyskana przez </w:t>
      </w:r>
      <w:r w:rsidR="00AB16A0" w:rsidRPr="00AB16A0">
        <w:rPr>
          <w:rFonts w:cs="Calibri"/>
        </w:rPr>
        <w:t>Świętokrzyski Fundusz Rozwoju Sp. z o. o.</w:t>
      </w:r>
      <w:r w:rsidR="00AB16A0" w:rsidRPr="00AB16A0" w:rsidDel="009F6C31">
        <w:rPr>
          <w:rFonts w:cs="Calibri"/>
        </w:rPr>
        <w:t xml:space="preserve"> </w:t>
      </w:r>
      <w:r w:rsidRPr="008F07E1">
        <w:rPr>
          <w:rFonts w:cs="Calibri"/>
        </w:rPr>
        <w:t xml:space="preserve"> w formie danych podanych przez Pożyczkobiorcę na formularzu rozliczenia udostępnionym przez </w:t>
      </w:r>
      <w:r w:rsidR="00AB16A0" w:rsidRPr="00AB16A0">
        <w:rPr>
          <w:rFonts w:cs="Calibri"/>
        </w:rPr>
        <w:t>Świętokrzyski Fundusz Rozwoju Sp. z o. o.</w:t>
      </w:r>
      <w:r w:rsidRPr="008F07E1">
        <w:rPr>
          <w:rFonts w:cs="Calibri"/>
        </w:rPr>
        <w:t xml:space="preserve"> lub w formie innych dokumentów.</w:t>
      </w:r>
    </w:p>
    <w:p w14:paraId="58D0D560" w14:textId="77777777" w:rsidR="008F07E1" w:rsidRPr="008F07E1" w:rsidRDefault="008F07E1" w:rsidP="005F166D">
      <w:pPr>
        <w:widowControl w:val="0"/>
        <w:numPr>
          <w:ilvl w:val="0"/>
          <w:numId w:val="13"/>
        </w:numPr>
        <w:suppressAutoHyphens/>
        <w:spacing w:before="120" w:after="0"/>
        <w:ind w:left="426" w:hanging="426"/>
        <w:jc w:val="both"/>
        <w:rPr>
          <w:rFonts w:cs="Calibri"/>
        </w:rPr>
      </w:pPr>
      <w:r w:rsidRPr="008F07E1">
        <w:rPr>
          <w:rFonts w:cs="Calibri"/>
        </w:rPr>
        <w:t>W przypadku dokonywania płatności w formie gotówkowej, płatności takie muszą być dokonywane z poszanowaniem art. 19 Ustawy z dnia 6 marca 2018 r. Prawo przedsiębiorców lub aktu zastępującego, pod rygorem uznania tego rodzaju płatności jako wydatki niekwalifikowalne.</w:t>
      </w:r>
    </w:p>
    <w:p w14:paraId="5E96A102" w14:textId="6B1ADA65" w:rsidR="008F07E1" w:rsidRPr="008F07E1" w:rsidRDefault="007C5A58" w:rsidP="005F166D">
      <w:pPr>
        <w:widowControl w:val="0"/>
        <w:numPr>
          <w:ilvl w:val="0"/>
          <w:numId w:val="13"/>
        </w:numPr>
        <w:suppressAutoHyphens/>
        <w:spacing w:before="120" w:after="0"/>
        <w:ind w:left="426" w:hanging="426"/>
        <w:jc w:val="both"/>
        <w:rPr>
          <w:rFonts w:cs="Calibri"/>
        </w:rPr>
      </w:pPr>
      <w:r w:rsidRPr="007C5A58">
        <w:rPr>
          <w:rFonts w:cs="Calibri"/>
        </w:rPr>
        <w:t>Świętokrzyski Fundusz Rozwoju Sp. z o. o.</w:t>
      </w:r>
      <w:r w:rsidRPr="007C5A58" w:rsidDel="008E6BE1">
        <w:rPr>
          <w:rFonts w:cs="Calibri"/>
        </w:rPr>
        <w:t xml:space="preserve"> </w:t>
      </w:r>
      <w:r w:rsidR="008F07E1" w:rsidRPr="008F07E1">
        <w:rPr>
          <w:rFonts w:cs="Calibri"/>
        </w:rPr>
        <w:t xml:space="preserve"> przyjmuje od Pożyczkobiorcy dokumenty, o których mowa w ust. 3 i informację, o której mowa w ust. 4 powyżej oraz – w ciągu 30 dni od upływu terminu wskazanego w ust. </w:t>
      </w:r>
      <w:r w:rsidR="00436864">
        <w:rPr>
          <w:rFonts w:cs="Calibri"/>
        </w:rPr>
        <w:t>2</w:t>
      </w:r>
      <w:r w:rsidR="008F07E1" w:rsidRPr="008F07E1">
        <w:rPr>
          <w:rFonts w:cs="Calibri"/>
        </w:rPr>
        <w:t>-– dokonuje ich weryfikacji</w:t>
      </w:r>
      <w:r w:rsidR="00677C62">
        <w:rPr>
          <w:rFonts w:cs="Calibri"/>
        </w:rPr>
        <w:t>.</w:t>
      </w:r>
      <w:r w:rsidR="008F07E1" w:rsidRPr="008F07E1">
        <w:rPr>
          <w:rFonts w:cs="Calibri"/>
        </w:rPr>
        <w:t xml:space="preserve"> </w:t>
      </w:r>
    </w:p>
    <w:p w14:paraId="53ABC176" w14:textId="77777777" w:rsidR="008F07E1" w:rsidRPr="008F07E1" w:rsidRDefault="008F07E1" w:rsidP="005F166D">
      <w:pPr>
        <w:widowControl w:val="0"/>
        <w:numPr>
          <w:ilvl w:val="0"/>
          <w:numId w:val="13"/>
        </w:numPr>
        <w:suppressAutoHyphens/>
        <w:spacing w:before="120" w:after="0"/>
        <w:ind w:left="426" w:hanging="426"/>
        <w:jc w:val="both"/>
        <w:rPr>
          <w:rFonts w:cs="Calibri"/>
        </w:rPr>
      </w:pPr>
      <w:r w:rsidRPr="008F07E1">
        <w:rPr>
          <w:rFonts w:cs="Calibri"/>
        </w:rPr>
        <w:t>Wszelka dokumentacja potwierdzająca wydatkowanie środków przez Pożyczkobiorcę powinna być, co do zasady, sporządzona w języku polskim, a w przypadku dokumentów wystawianych w języku innym niż język polski, w razie istnienia wątpliwości co do treści tych dokumentów, powinna zostać przetłumaczona na język polski.</w:t>
      </w:r>
    </w:p>
    <w:p w14:paraId="7F29AFBE" w14:textId="77777777" w:rsidR="008F07E1" w:rsidRPr="008F07E1" w:rsidRDefault="008F07E1" w:rsidP="005F166D">
      <w:pPr>
        <w:widowControl w:val="0"/>
        <w:numPr>
          <w:ilvl w:val="0"/>
          <w:numId w:val="14"/>
        </w:numPr>
        <w:suppressAutoHyphens/>
        <w:spacing w:before="120" w:after="0"/>
        <w:ind w:left="720"/>
        <w:jc w:val="both"/>
        <w:rPr>
          <w:rFonts w:cs="Calibri"/>
          <w:b/>
        </w:rPr>
      </w:pPr>
      <w:r w:rsidRPr="008F07E1">
        <w:rPr>
          <w:rFonts w:cs="Calibri"/>
          <w:b/>
        </w:rPr>
        <w:t>Cesja wierzytelności i zabezpieczeń</w:t>
      </w:r>
    </w:p>
    <w:p w14:paraId="7D481118" w14:textId="77777777" w:rsidR="008F07E1" w:rsidRPr="008F07E1" w:rsidRDefault="008F07E1" w:rsidP="005F166D">
      <w:pPr>
        <w:numPr>
          <w:ilvl w:val="0"/>
          <w:numId w:val="6"/>
        </w:numPr>
        <w:spacing w:before="120" w:after="0"/>
        <w:ind w:left="426"/>
        <w:jc w:val="both"/>
        <w:rPr>
          <w:rFonts w:cs="Calibri"/>
        </w:rPr>
      </w:pPr>
      <w:r w:rsidRPr="008F07E1">
        <w:rPr>
          <w:rFonts w:cs="Calibri"/>
        </w:rPr>
        <w:t>Pożyczkobiorca przyjmuje do wiadomości, że Pożyczkodawca dokonał przelewu na rzecz Banku Gospodarstwa Krajowego wierzytelności Pożyczkodawcy z tytułu zawartej przez Pożyczkobiorcę umowy pożyczki oraz ustanowionych przez niego zabezpieczeń.</w:t>
      </w:r>
    </w:p>
    <w:p w14:paraId="50C4B656" w14:textId="77777777" w:rsidR="008F07E1" w:rsidRPr="008F07E1" w:rsidRDefault="008F07E1" w:rsidP="005F166D">
      <w:pPr>
        <w:numPr>
          <w:ilvl w:val="0"/>
          <w:numId w:val="6"/>
        </w:numPr>
        <w:spacing w:before="120" w:after="0"/>
        <w:ind w:left="426"/>
        <w:jc w:val="both"/>
        <w:rPr>
          <w:rFonts w:cs="Calibri"/>
        </w:rPr>
      </w:pPr>
      <w:r w:rsidRPr="008F07E1">
        <w:rPr>
          <w:rFonts w:cs="Calibri"/>
        </w:rPr>
        <w:t>Przelew wierzytelności Pożyczkobiorcy na rzecz Banku Gospodarstwa Krajowego dokonany został z tzw. warunkiem zawieszającym, tj. skutek prawny tego przelewu, wystąpi z chwilą zajścia okoliczności określonych w umowie zawartej pomiędzy Pożyczkodawcą a Bankiem Gospodarstwa Krajowego, o czym Pożyczkobiorca poinformowany zostanie przez Pożyczkodawcę lub przez Bank Gospodarstwa Krajowego w drodze pisemnej.</w:t>
      </w:r>
    </w:p>
    <w:p w14:paraId="2593DB62" w14:textId="77777777" w:rsidR="008F07E1" w:rsidRPr="008F07E1" w:rsidRDefault="008F07E1" w:rsidP="005F166D">
      <w:pPr>
        <w:numPr>
          <w:ilvl w:val="0"/>
          <w:numId w:val="6"/>
        </w:numPr>
        <w:spacing w:before="120" w:after="0"/>
        <w:ind w:left="426"/>
        <w:jc w:val="both"/>
        <w:rPr>
          <w:rFonts w:cs="Calibri"/>
        </w:rPr>
      </w:pPr>
      <w:r w:rsidRPr="008F07E1">
        <w:rPr>
          <w:rFonts w:cs="Calibri"/>
        </w:rPr>
        <w:t>Zawiadomienie o którym mowa w pkt. 2 powyżej zawierało będzie informacje dotyczące w szczególności obowiązku spłaty przez Pożyczkobiorcę rat kapitałowych i odsetek wynikających z harmonogramu spłat jak i innych płatności wynikających z umowy pożyczki, na nowy rachunek wskazany przez Bank Gospodarstwa Krajowego.</w:t>
      </w:r>
    </w:p>
    <w:p w14:paraId="345405C9" w14:textId="77777777" w:rsidR="008F07E1" w:rsidRPr="008F07E1" w:rsidRDefault="008F07E1" w:rsidP="005F166D">
      <w:pPr>
        <w:numPr>
          <w:ilvl w:val="0"/>
          <w:numId w:val="6"/>
        </w:numPr>
        <w:spacing w:before="120" w:after="0"/>
        <w:ind w:left="426"/>
        <w:jc w:val="both"/>
        <w:rPr>
          <w:rFonts w:cs="Calibri"/>
        </w:rPr>
      </w:pPr>
      <w:r w:rsidRPr="008F07E1">
        <w:rPr>
          <w:rFonts w:cs="Calibri"/>
        </w:rPr>
        <w:t>Bank Gospodarstwa Krajowego ma prawo do dokonania dalszych przelewów wymienionych powyżej wierzytelności wraz z zabezpieczeniami na inny podmiot.</w:t>
      </w:r>
    </w:p>
    <w:p w14:paraId="166EB8ED" w14:textId="77777777" w:rsidR="008F07E1" w:rsidRPr="008F07E1" w:rsidRDefault="008F07E1" w:rsidP="005F166D">
      <w:pPr>
        <w:widowControl w:val="0"/>
        <w:numPr>
          <w:ilvl w:val="0"/>
          <w:numId w:val="14"/>
        </w:numPr>
        <w:suppressAutoHyphens/>
        <w:spacing w:before="120" w:after="0"/>
        <w:ind w:left="425" w:hanging="425"/>
        <w:jc w:val="both"/>
        <w:rPr>
          <w:rFonts w:cs="Calibri"/>
          <w:b/>
        </w:rPr>
      </w:pPr>
      <w:r w:rsidRPr="008F07E1">
        <w:rPr>
          <w:rFonts w:cs="Calibri"/>
          <w:b/>
        </w:rPr>
        <w:t>Zasady odpłatności za udzielenie Pożyczek</w:t>
      </w:r>
    </w:p>
    <w:p w14:paraId="3FAC1264" w14:textId="77777777" w:rsidR="000A081B" w:rsidRPr="00CE6494" w:rsidRDefault="000A081B" w:rsidP="005F166D">
      <w:pPr>
        <w:numPr>
          <w:ilvl w:val="0"/>
          <w:numId w:val="1"/>
        </w:numPr>
        <w:spacing w:before="120" w:after="0"/>
        <w:ind w:left="425" w:hanging="425"/>
        <w:jc w:val="both"/>
      </w:pPr>
      <w:r w:rsidRPr="00CE6494">
        <w:t>Pożyczki mogą być oprocentowane na warunkach rynkowych lub korzystniejszych niż rynkowe.</w:t>
      </w:r>
    </w:p>
    <w:p w14:paraId="474A5B12" w14:textId="77777777" w:rsidR="000A081B" w:rsidRPr="00CE6494" w:rsidRDefault="000A081B" w:rsidP="005F166D">
      <w:pPr>
        <w:numPr>
          <w:ilvl w:val="0"/>
          <w:numId w:val="1"/>
        </w:numPr>
        <w:spacing w:before="120" w:after="0"/>
        <w:ind w:left="425" w:hanging="425"/>
        <w:jc w:val="both"/>
      </w:pPr>
      <w:r w:rsidRPr="00CE6494">
        <w:lastRenderedPageBreak/>
        <w:t xml:space="preserve">Oprocentowanie na zasadach rynkowych ustalane jest w wysokości stopy referencyjnej obliczanej przy zastosowaniu obowiązującej stopy bazowej oraz marży ustalonej w oparciu o </w:t>
      </w:r>
      <w:r w:rsidRPr="00CE6494">
        <w:rPr>
          <w:iCs/>
        </w:rPr>
        <w:t>Komunikat Komisji Europejskiej z dnia 19 stycznia 2008 r. w sprawie zmiany metody ustalania stóp referencyjnych i dyskontowych</w:t>
      </w:r>
      <w:r w:rsidRPr="00CE6494">
        <w:rPr>
          <w:i/>
          <w:iCs/>
        </w:rPr>
        <w:t xml:space="preserve"> </w:t>
      </w:r>
      <w:r w:rsidRPr="00CE6494">
        <w:t>lub komunikatu zastępującego.</w:t>
      </w:r>
    </w:p>
    <w:p w14:paraId="0A94AC17" w14:textId="2CE17E89" w:rsidR="000A081B" w:rsidRPr="00CE6494" w:rsidRDefault="000A081B" w:rsidP="005F166D">
      <w:pPr>
        <w:numPr>
          <w:ilvl w:val="0"/>
          <w:numId w:val="1"/>
        </w:numPr>
        <w:tabs>
          <w:tab w:val="num" w:pos="142"/>
        </w:tabs>
        <w:spacing w:before="120" w:after="0"/>
        <w:ind w:left="357" w:hanging="357"/>
        <w:jc w:val="both"/>
      </w:pPr>
      <w:r w:rsidRPr="00CE6494">
        <w:t xml:space="preserve">Oprocentowanie Pożyczki na zasadach korzystniejszych niż rynkowe jest stałe w całym okresie jej obowiązywania i wynosi </w:t>
      </w:r>
      <w:r w:rsidR="00C73BC9">
        <w:rPr>
          <w:b/>
        </w:rPr>
        <w:t>0</w:t>
      </w:r>
      <w:r w:rsidRPr="00CE6494">
        <w:rPr>
          <w:b/>
        </w:rPr>
        <w:t>%</w:t>
      </w:r>
      <w:r w:rsidRPr="00CE6494">
        <w:t xml:space="preserve"> </w:t>
      </w:r>
      <w:r>
        <w:t>w skali roku z zastrzeżeniem ust.</w:t>
      </w:r>
      <w:r w:rsidRPr="00CE6494">
        <w:t xml:space="preserve"> 4.</w:t>
      </w:r>
    </w:p>
    <w:p w14:paraId="70D1B26D" w14:textId="21A89545" w:rsidR="00921CF3" w:rsidRDefault="000A081B" w:rsidP="005F166D">
      <w:pPr>
        <w:numPr>
          <w:ilvl w:val="0"/>
          <w:numId w:val="1"/>
        </w:numPr>
        <w:spacing w:before="120" w:after="0"/>
        <w:ind w:left="425" w:hanging="425"/>
        <w:jc w:val="both"/>
      </w:pPr>
      <w:r w:rsidRPr="00CE6494">
        <w:t xml:space="preserve">W przypadku obniżenia stopy bazowej określonej przez Komisję Europejską do poziomu poniżej </w:t>
      </w:r>
      <w:r w:rsidR="00C73BC9">
        <w:t>0</w:t>
      </w:r>
      <w:r w:rsidRPr="00CE6494">
        <w:t>%, oprocentowanie Pożyczki udzielanej na zasadach korzystniejszych niż rynkowe jest stałe w całym okresie jej obowiązywania i ustalone jest w wysokości stopy bazowej dla pożyczek udzielanych w złotych polskich z dnia udzielenia, przy czym wysokość stopy bazowej określona jest przez Komisję Europejską zgodnie z Komunikatem w sprawie zmiany metody ustalania stóp referencyjnych i dyskontowych nr 2008/C 14/02.</w:t>
      </w:r>
    </w:p>
    <w:p w14:paraId="27FE8DFC" w14:textId="2688FFFF" w:rsidR="00921CF3" w:rsidRPr="00921CF3" w:rsidRDefault="00921CF3" w:rsidP="005F166D">
      <w:pPr>
        <w:numPr>
          <w:ilvl w:val="0"/>
          <w:numId w:val="1"/>
        </w:numPr>
        <w:spacing w:before="120" w:after="0"/>
        <w:ind w:left="425" w:hanging="425"/>
        <w:jc w:val="both"/>
      </w:pPr>
      <w:r w:rsidRPr="00921CF3">
        <w:t xml:space="preserve">Oprocentowanie o którym mowa w ust. 3  i 4 ustalane jest zgodnie z zasadami udzielania pomocy de </w:t>
      </w:r>
      <w:proofErr w:type="spellStart"/>
      <w:r w:rsidRPr="00921CF3">
        <w:t>minimis</w:t>
      </w:r>
      <w:proofErr w:type="spellEnd"/>
      <w:r w:rsidRPr="00921CF3">
        <w:t xml:space="preserve"> przewidzianymi w Rozporządzeniu Komisji (UE) nr 2023/2831 z dnia 13 grudnia 2023  r. w sprawie stosowania art. 107 i 108 Traktatu o funkcjonowaniu Unii Europejskiej do pomocy de </w:t>
      </w:r>
      <w:proofErr w:type="spellStart"/>
      <w:r w:rsidRPr="00921CF3">
        <w:t>minimis</w:t>
      </w:r>
      <w:proofErr w:type="spellEnd"/>
      <w:r w:rsidRPr="00921CF3">
        <w:t xml:space="preserve"> oraz Rozporządzeniu Ministra Funduszy i Polityki Regionalnej z dnia 17 kwietnia 2024 r. w sprawie udzielania pomocy de </w:t>
      </w:r>
      <w:proofErr w:type="spellStart"/>
      <w:r w:rsidRPr="00921CF3">
        <w:t>minimis</w:t>
      </w:r>
      <w:proofErr w:type="spellEnd"/>
      <w:r w:rsidRPr="00921CF3">
        <w:t xml:space="preserve"> w ramach regionalnych programów na lata 2021-2027 (Dz.U.2024.598 z dnia 2024.04.18);</w:t>
      </w:r>
    </w:p>
    <w:p w14:paraId="2CEBCE67" w14:textId="313DF98A" w:rsidR="00E938DC" w:rsidRDefault="00E938DC" w:rsidP="005F166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color w:val="000000" w:themeColor="text1"/>
        </w:rPr>
      </w:pPr>
      <w:r w:rsidRPr="003D77AB">
        <w:rPr>
          <w:color w:val="000000" w:themeColor="text1"/>
        </w:rPr>
        <w:t>Wartość pomocy stanowi ekwiwalent dotacji brutto, obliczany zgodnie z Rozporządzeniem Rady Ministrów z dnia 11 sierpnia 2004 r. w sprawie szczegółowego sposobu obliczania wartości pomocy publicznej udzielanej w różnych formach.</w:t>
      </w:r>
    </w:p>
    <w:p w14:paraId="6D5A18A9" w14:textId="2EA952E9" w:rsidR="00E938DC" w:rsidRDefault="007C5A58" w:rsidP="005F166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color w:val="000000" w:themeColor="text1"/>
        </w:rPr>
      </w:pPr>
      <w:r w:rsidRPr="007C5A58">
        <w:rPr>
          <w:rFonts w:cs="Calibri"/>
        </w:rPr>
        <w:t>Świętokrzyski Fundusz Rozwoju Sp. z o. o.</w:t>
      </w:r>
      <w:r w:rsidRPr="007C5A58" w:rsidDel="008E6BE1">
        <w:rPr>
          <w:rFonts w:cs="Calibri"/>
        </w:rPr>
        <w:t xml:space="preserve"> </w:t>
      </w:r>
      <w:r w:rsidR="00E938DC" w:rsidRPr="008F07E1">
        <w:rPr>
          <w:rFonts w:cs="Calibri"/>
        </w:rPr>
        <w:t xml:space="preserve"> </w:t>
      </w:r>
      <w:r w:rsidR="00E938DC" w:rsidRPr="00E938DC">
        <w:rPr>
          <w:color w:val="000000" w:themeColor="text1"/>
        </w:rPr>
        <w:t>na podstawie dokumentów i informacji przedstawionych przez Ostatecznego Odbiorcę oraz obowiązujących przepisów prawa bada dopuszczalność, a także ustala formę i wysokość pomocy, która może być udzielona w ramach Jednostkowej Pożyczki.</w:t>
      </w:r>
    </w:p>
    <w:p w14:paraId="1A2EEEBE" w14:textId="30DE82B9" w:rsidR="00E938DC" w:rsidRPr="00E938DC" w:rsidRDefault="00E938DC" w:rsidP="005F166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color w:val="000000" w:themeColor="text1"/>
        </w:rPr>
      </w:pPr>
      <w:r w:rsidRPr="00E938DC">
        <w:rPr>
          <w:color w:val="000000" w:themeColor="text1"/>
        </w:rPr>
        <w:t xml:space="preserve">Obowiązek zgłaszania faktu udzielenia pomocy, wydania stosownego zaświadczenia (jeśli dotyczy) oraz składania sprawozdań z udzielonej pomocy publicznej do właściwej instytucji spoczywa na </w:t>
      </w:r>
      <w:r w:rsidR="007C5A58" w:rsidRPr="007C5A58">
        <w:rPr>
          <w:rFonts w:cs="Calibri"/>
        </w:rPr>
        <w:t>Świętokrzyski</w:t>
      </w:r>
      <w:r w:rsidR="007C5A58">
        <w:rPr>
          <w:rFonts w:cs="Calibri"/>
        </w:rPr>
        <w:t>m</w:t>
      </w:r>
      <w:r w:rsidR="007C5A58" w:rsidRPr="007C5A58">
        <w:rPr>
          <w:rFonts w:cs="Calibri"/>
        </w:rPr>
        <w:t xml:space="preserve"> Fundusz</w:t>
      </w:r>
      <w:r w:rsidR="007C5A58">
        <w:rPr>
          <w:rFonts w:cs="Calibri"/>
        </w:rPr>
        <w:t>u</w:t>
      </w:r>
      <w:r w:rsidR="007C5A58" w:rsidRPr="007C5A58">
        <w:rPr>
          <w:rFonts w:cs="Calibri"/>
        </w:rPr>
        <w:t xml:space="preserve"> Rozwoju Sp. z o. o.</w:t>
      </w:r>
      <w:r w:rsidR="007C5A58" w:rsidRPr="007C5A58" w:rsidDel="00CD79DC">
        <w:rPr>
          <w:rFonts w:cs="Calibri"/>
        </w:rPr>
        <w:t xml:space="preserve"> </w:t>
      </w:r>
      <w:r w:rsidRPr="00E938DC">
        <w:rPr>
          <w:color w:val="000000" w:themeColor="text1"/>
        </w:rPr>
        <w:t>, zgodnie z odpowiednimi przepisami.</w:t>
      </w:r>
    </w:p>
    <w:p w14:paraId="753F8157" w14:textId="0BF733C9" w:rsidR="000A081B" w:rsidRDefault="000A081B" w:rsidP="005F166D">
      <w:pPr>
        <w:numPr>
          <w:ilvl w:val="0"/>
          <w:numId w:val="1"/>
        </w:numPr>
        <w:spacing w:before="120" w:after="0"/>
        <w:ind w:left="426" w:hanging="426"/>
        <w:jc w:val="both"/>
      </w:pPr>
      <w:r w:rsidRPr="00CE6494">
        <w:t xml:space="preserve">W przypadku niespełnienia przez </w:t>
      </w:r>
      <w:r>
        <w:t>Pożyczkobiorcę</w:t>
      </w:r>
      <w:r w:rsidRPr="00CE6494">
        <w:t xml:space="preserve"> jakiegokolwiek z warunków udzielenia pomocy de </w:t>
      </w:r>
      <w:proofErr w:type="spellStart"/>
      <w:r w:rsidRPr="00CE6494">
        <w:t>minimis</w:t>
      </w:r>
      <w:proofErr w:type="spellEnd"/>
      <w:r w:rsidRPr="00CE6494">
        <w:t>, Pożyczka udzielana jest na zasadach rynkowych, o ile pozwalają na to Zasady Kwalifikowalności.</w:t>
      </w:r>
    </w:p>
    <w:p w14:paraId="37D657EB" w14:textId="4D7B4A18" w:rsidR="00E938DC" w:rsidRPr="00E938DC" w:rsidRDefault="00E938DC" w:rsidP="005F166D">
      <w:pPr>
        <w:numPr>
          <w:ilvl w:val="0"/>
          <w:numId w:val="1"/>
        </w:numPr>
        <w:spacing w:before="120" w:after="0"/>
        <w:ind w:left="426" w:hanging="426"/>
        <w:jc w:val="both"/>
      </w:pPr>
      <w:r w:rsidRPr="00E938DC">
        <w:rPr>
          <w:color w:val="000000" w:themeColor="text1"/>
        </w:rPr>
        <w:t>W ramach udzielanych Jednostkowych Pożyczek nie występują opłaty związane z udzieleniem pożyczki i jej standardową obsługą. Czynności wykraczające poza ten zakres, przede wszystkim w przypadku niewywiązywania się przez Ostatecznego Odbiorcę z warunków Umowy Inwestycyjnej, występowania nierozliczonych wydatków, zaległości w spłacie, konieczności podejmowania działań windykacyjnych (zgodnie z postanowieniami Umowy) mogą przyczynić się do wystąpienia dodatkowych opłat i kosztów po stronie Ostatecznego Odbiorcy, co Partner Finansujący powinien określić w postanowieniach Umów Inwestycyjnych oraz Taryfie prowizji i opłat.</w:t>
      </w:r>
    </w:p>
    <w:p w14:paraId="484BA22C" w14:textId="77777777" w:rsidR="00516E33" w:rsidRPr="00B06F32" w:rsidRDefault="00516E33" w:rsidP="005F166D">
      <w:pPr>
        <w:spacing w:before="120"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</w:tblGrid>
      <w:tr w:rsidR="00516E33" w14:paraId="5F95D01B" w14:textId="77777777" w:rsidTr="001B46CE">
        <w:tc>
          <w:tcPr>
            <w:tcW w:w="3212" w:type="dxa"/>
            <w:tcBorders>
              <w:bottom w:val="dotted" w:sz="4" w:space="0" w:color="auto"/>
            </w:tcBorders>
          </w:tcPr>
          <w:p w14:paraId="5141ACFA" w14:textId="77777777" w:rsidR="00516E33" w:rsidRDefault="00516E33" w:rsidP="005F166D">
            <w:pPr>
              <w:tabs>
                <w:tab w:val="num" w:pos="426"/>
              </w:tabs>
              <w:spacing w:before="120" w:after="0"/>
              <w:jc w:val="both"/>
            </w:pPr>
          </w:p>
        </w:tc>
      </w:tr>
      <w:tr w:rsidR="00516E33" w14:paraId="4A490989" w14:textId="77777777" w:rsidTr="001B46CE">
        <w:tc>
          <w:tcPr>
            <w:tcW w:w="3212" w:type="dxa"/>
            <w:tcBorders>
              <w:top w:val="dotted" w:sz="4" w:space="0" w:color="auto"/>
            </w:tcBorders>
          </w:tcPr>
          <w:p w14:paraId="115D7B1F" w14:textId="77777777" w:rsidR="00516E33" w:rsidRPr="004E6364" w:rsidRDefault="00516E33" w:rsidP="005F166D">
            <w:pPr>
              <w:tabs>
                <w:tab w:val="num" w:pos="426"/>
              </w:tabs>
              <w:spacing w:before="120" w:after="0"/>
              <w:jc w:val="both"/>
              <w:rPr>
                <w:sz w:val="16"/>
                <w:szCs w:val="16"/>
              </w:rPr>
            </w:pPr>
            <w:r w:rsidRPr="004E6364">
              <w:rPr>
                <w:rFonts w:asciiTheme="minorHAnsi" w:eastAsiaTheme="minorHAnsi" w:hAnsiTheme="minorHAnsi"/>
                <w:sz w:val="16"/>
                <w:szCs w:val="16"/>
              </w:rPr>
              <w:t xml:space="preserve">Podpis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pożyczkodawcy</w:t>
            </w:r>
          </w:p>
        </w:tc>
      </w:tr>
    </w:tbl>
    <w:p w14:paraId="6EFFAC3A" w14:textId="77777777" w:rsidR="00516E33" w:rsidRDefault="00516E33" w:rsidP="005F166D">
      <w:pPr>
        <w:tabs>
          <w:tab w:val="num" w:pos="426"/>
        </w:tabs>
        <w:spacing w:before="120" w:after="0"/>
        <w:jc w:val="both"/>
      </w:pPr>
    </w:p>
    <w:p w14:paraId="63948F3B" w14:textId="77777777" w:rsidR="00516E33" w:rsidRDefault="00516E33" w:rsidP="005F166D">
      <w:pPr>
        <w:tabs>
          <w:tab w:val="num" w:pos="426"/>
        </w:tabs>
        <w:spacing w:before="120" w:after="0"/>
        <w:jc w:val="both"/>
      </w:pPr>
      <w:r>
        <w:t>Oświadczam, iż zapoznałem się z treścią niniejszego dokumentu:</w:t>
      </w:r>
    </w:p>
    <w:p w14:paraId="5547BBB9" w14:textId="77777777" w:rsidR="00516E33" w:rsidRDefault="00516E33" w:rsidP="005F166D">
      <w:pPr>
        <w:tabs>
          <w:tab w:val="num" w:pos="426"/>
        </w:tabs>
        <w:spacing w:before="120"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2"/>
      </w:tblGrid>
      <w:tr w:rsidR="00516E33" w14:paraId="71ADAD9C" w14:textId="77777777" w:rsidTr="001B46CE">
        <w:tc>
          <w:tcPr>
            <w:tcW w:w="32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F99AA0" w14:textId="77777777" w:rsidR="00516E33" w:rsidRDefault="00516E33" w:rsidP="005F166D">
            <w:pPr>
              <w:tabs>
                <w:tab w:val="num" w:pos="426"/>
              </w:tabs>
              <w:spacing w:before="120" w:after="0"/>
              <w:jc w:val="both"/>
            </w:pPr>
          </w:p>
        </w:tc>
      </w:tr>
      <w:tr w:rsidR="00516E33" w14:paraId="6950E86A" w14:textId="77777777" w:rsidTr="001B46CE">
        <w:tc>
          <w:tcPr>
            <w:tcW w:w="32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EA306F" w14:textId="77777777" w:rsidR="00516E33" w:rsidRPr="004E6364" w:rsidRDefault="00516E33" w:rsidP="005F166D">
            <w:pPr>
              <w:tabs>
                <w:tab w:val="num" w:pos="426"/>
              </w:tabs>
              <w:spacing w:before="120" w:after="0"/>
              <w:jc w:val="both"/>
              <w:rPr>
                <w:sz w:val="16"/>
                <w:szCs w:val="16"/>
              </w:rPr>
            </w:pPr>
            <w:r w:rsidRPr="004E6364">
              <w:rPr>
                <w:rFonts w:asciiTheme="minorHAnsi" w:eastAsiaTheme="minorHAnsi" w:hAnsiTheme="minorHAnsi"/>
                <w:sz w:val="16"/>
                <w:szCs w:val="16"/>
              </w:rPr>
              <w:lastRenderedPageBreak/>
              <w:t xml:space="preserve">Podpis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pożyczkobiorcy</w:t>
            </w:r>
          </w:p>
        </w:tc>
      </w:tr>
    </w:tbl>
    <w:p w14:paraId="43031E8A" w14:textId="77777777" w:rsidR="00516E33" w:rsidRDefault="00516E33" w:rsidP="000A6529">
      <w:pPr>
        <w:spacing w:before="120" w:after="0"/>
        <w:jc w:val="both"/>
      </w:pPr>
    </w:p>
    <w:sectPr w:rsidR="00516E33" w:rsidSect="0054646E">
      <w:footerReference w:type="default" r:id="rId8"/>
      <w:headerReference w:type="first" r:id="rId9"/>
      <w:footerReference w:type="first" r:id="rId10"/>
      <w:pgSz w:w="11906" w:h="16838"/>
      <w:pgMar w:top="720" w:right="1274" w:bottom="720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9D5D" w14:textId="77777777" w:rsidR="00692A67" w:rsidRDefault="00692A67" w:rsidP="00BA3860">
      <w:pPr>
        <w:spacing w:after="0" w:line="240" w:lineRule="auto"/>
      </w:pPr>
      <w:r>
        <w:separator/>
      </w:r>
    </w:p>
  </w:endnote>
  <w:endnote w:type="continuationSeparator" w:id="0">
    <w:p w14:paraId="37A138F9" w14:textId="77777777" w:rsidR="00692A67" w:rsidRDefault="00692A67" w:rsidP="00BA3860">
      <w:pPr>
        <w:spacing w:after="0" w:line="240" w:lineRule="auto"/>
      </w:pPr>
      <w:r>
        <w:continuationSeparator/>
      </w:r>
    </w:p>
  </w:endnote>
  <w:endnote w:type="continuationNotice" w:id="1">
    <w:p w14:paraId="6BAB2192" w14:textId="77777777" w:rsidR="00692A67" w:rsidRDefault="00692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D24B" w14:textId="77777777" w:rsidR="00EB7BDD" w:rsidRDefault="00EB7BDD" w:rsidP="004501FA">
    <w:pPr>
      <w:pStyle w:val="Stopka"/>
      <w:tabs>
        <w:tab w:val="clear" w:pos="4536"/>
        <w:tab w:val="clear" w:pos="9072"/>
        <w:tab w:val="left" w:pos="7230"/>
      </w:tabs>
      <w:rPr>
        <w:noProof/>
        <w:sz w:val="20"/>
        <w:szCs w:val="20"/>
        <w:lang w:eastAsia="pl-PL"/>
      </w:rPr>
    </w:pPr>
  </w:p>
  <w:p w14:paraId="0FFC7FFF" w14:textId="5B7231E2" w:rsidR="00480CFB" w:rsidRDefault="00DD0EEE" w:rsidP="00573F63">
    <w:pPr>
      <w:pStyle w:val="Stopka"/>
      <w:tabs>
        <w:tab w:val="clear" w:pos="4536"/>
        <w:tab w:val="clear" w:pos="9072"/>
        <w:tab w:val="left" w:pos="7230"/>
      </w:tabs>
      <w:jc w:val="center"/>
    </w:pPr>
    <w:r w:rsidRPr="00DD0EEE">
      <w:rPr>
        <w:sz w:val="24"/>
      </w:rPr>
      <w:t xml:space="preserve">Strona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PAGE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677C62">
      <w:rPr>
        <w:b/>
        <w:bCs/>
        <w:noProof/>
        <w:sz w:val="24"/>
        <w:lang w:val="en-GB"/>
      </w:rPr>
      <w:t>4</w:t>
    </w:r>
    <w:r w:rsidRPr="00DD0EEE">
      <w:rPr>
        <w:b/>
        <w:bCs/>
        <w:sz w:val="24"/>
        <w:szCs w:val="24"/>
        <w:lang w:val="en-GB"/>
      </w:rPr>
      <w:fldChar w:fldCharType="end"/>
    </w:r>
    <w:r w:rsidRPr="00DD0EEE">
      <w:rPr>
        <w:sz w:val="24"/>
      </w:rPr>
      <w:t xml:space="preserve"> z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NUMPAGES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677C62">
      <w:rPr>
        <w:b/>
        <w:bCs/>
        <w:noProof/>
        <w:sz w:val="24"/>
        <w:lang w:val="en-GB"/>
      </w:rPr>
      <w:t>4</w:t>
    </w:r>
    <w:r w:rsidRPr="00DD0EEE">
      <w:rPr>
        <w:b/>
        <w:bCs/>
        <w:sz w:val="24"/>
        <w:szCs w:val="24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38F7" w14:textId="42955891" w:rsidR="006E45EA" w:rsidRDefault="00532A40" w:rsidP="006E45EA">
    <w:pPr>
      <w:pStyle w:val="Stopka"/>
      <w:tabs>
        <w:tab w:val="clear" w:pos="4536"/>
        <w:tab w:val="clear" w:pos="9072"/>
        <w:tab w:val="left" w:pos="7230"/>
      </w:tabs>
      <w:jc w:val="right"/>
    </w:pPr>
    <w:r>
      <w:rPr>
        <w:rFonts w:ascii="Arial" w:eastAsia="Times New Roman" w:hAnsi="Arial" w:cs="Arial"/>
        <w:noProof/>
        <w:color w:val="2F5496" w:themeColor="accent1" w:themeShade="BF"/>
        <w:sz w:val="32"/>
        <w:szCs w:val="32"/>
        <w:lang w:eastAsia="pl-PL"/>
      </w:rPr>
      <w:drawing>
        <wp:inline distT="0" distB="0" distL="0" distR="0" wp14:anchorId="3100BA5A" wp14:editId="03F9E6BD">
          <wp:extent cx="5761355" cy="4451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E45EA" w:rsidRPr="006E45EA">
      <w:rPr>
        <w:sz w:val="24"/>
      </w:rPr>
      <w:t xml:space="preserve"> </w:t>
    </w:r>
    <w:r w:rsidR="006E45EA" w:rsidRPr="00DD0EEE">
      <w:rPr>
        <w:sz w:val="24"/>
      </w:rPr>
      <w:t xml:space="preserve">Strona </w:t>
    </w:r>
    <w:r w:rsidR="006E45EA" w:rsidRPr="00DD0EEE">
      <w:rPr>
        <w:b/>
        <w:bCs/>
        <w:sz w:val="24"/>
        <w:szCs w:val="24"/>
        <w:lang w:val="en-GB"/>
      </w:rPr>
      <w:fldChar w:fldCharType="begin"/>
    </w:r>
    <w:r w:rsidR="006E45EA" w:rsidRPr="00DD0EEE">
      <w:rPr>
        <w:b/>
        <w:bCs/>
        <w:sz w:val="24"/>
        <w:lang w:val="en-GB"/>
      </w:rPr>
      <w:instrText>PAGE</w:instrText>
    </w:r>
    <w:r w:rsidR="006E45EA" w:rsidRPr="00DD0EEE">
      <w:rPr>
        <w:b/>
        <w:bCs/>
        <w:sz w:val="24"/>
        <w:szCs w:val="24"/>
        <w:lang w:val="en-GB"/>
      </w:rPr>
      <w:fldChar w:fldCharType="separate"/>
    </w:r>
    <w:r w:rsidR="00677C62">
      <w:rPr>
        <w:b/>
        <w:bCs/>
        <w:noProof/>
        <w:sz w:val="24"/>
        <w:lang w:val="en-GB"/>
      </w:rPr>
      <w:t>1</w:t>
    </w:r>
    <w:r w:rsidR="006E45EA" w:rsidRPr="00DD0EEE">
      <w:rPr>
        <w:b/>
        <w:bCs/>
        <w:sz w:val="24"/>
        <w:szCs w:val="24"/>
        <w:lang w:val="en-GB"/>
      </w:rPr>
      <w:fldChar w:fldCharType="end"/>
    </w:r>
    <w:r w:rsidR="006E45EA" w:rsidRPr="00DD0EEE">
      <w:rPr>
        <w:sz w:val="24"/>
      </w:rPr>
      <w:t xml:space="preserve"> z </w:t>
    </w:r>
    <w:r w:rsidR="006E45EA" w:rsidRPr="00DD0EEE">
      <w:rPr>
        <w:b/>
        <w:bCs/>
        <w:sz w:val="24"/>
        <w:szCs w:val="24"/>
        <w:lang w:val="en-GB"/>
      </w:rPr>
      <w:fldChar w:fldCharType="begin"/>
    </w:r>
    <w:r w:rsidR="006E45EA" w:rsidRPr="00DD0EEE">
      <w:rPr>
        <w:b/>
        <w:bCs/>
        <w:sz w:val="24"/>
        <w:lang w:val="en-GB"/>
      </w:rPr>
      <w:instrText>NUMPAGES</w:instrText>
    </w:r>
    <w:r w:rsidR="006E45EA" w:rsidRPr="00DD0EEE">
      <w:rPr>
        <w:b/>
        <w:bCs/>
        <w:sz w:val="24"/>
        <w:szCs w:val="24"/>
        <w:lang w:val="en-GB"/>
      </w:rPr>
      <w:fldChar w:fldCharType="separate"/>
    </w:r>
    <w:r w:rsidR="00677C62">
      <w:rPr>
        <w:b/>
        <w:bCs/>
        <w:noProof/>
        <w:sz w:val="24"/>
        <w:lang w:val="en-GB"/>
      </w:rPr>
      <w:t>4</w:t>
    </w:r>
    <w:r w:rsidR="006E45EA" w:rsidRPr="00DD0EEE">
      <w:rPr>
        <w:b/>
        <w:bCs/>
        <w:sz w:val="24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50C7" w14:textId="77777777" w:rsidR="00692A67" w:rsidRDefault="00692A67" w:rsidP="00BA3860">
      <w:pPr>
        <w:spacing w:after="0" w:line="240" w:lineRule="auto"/>
      </w:pPr>
      <w:r>
        <w:separator/>
      </w:r>
    </w:p>
  </w:footnote>
  <w:footnote w:type="continuationSeparator" w:id="0">
    <w:p w14:paraId="1C0DC83F" w14:textId="77777777" w:rsidR="00692A67" w:rsidRDefault="00692A67" w:rsidP="00BA3860">
      <w:pPr>
        <w:spacing w:after="0" w:line="240" w:lineRule="auto"/>
      </w:pPr>
      <w:r>
        <w:continuationSeparator/>
      </w:r>
    </w:p>
  </w:footnote>
  <w:footnote w:type="continuationNotice" w:id="1">
    <w:p w14:paraId="26BE600C" w14:textId="77777777" w:rsidR="00692A67" w:rsidRDefault="00692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14FB" w14:textId="41C31ED4" w:rsidR="00F67CE3" w:rsidRPr="00242425" w:rsidRDefault="00F67CE3" w:rsidP="00F67CE3">
    <w:pPr>
      <w:pStyle w:val="Nagwek"/>
      <w:tabs>
        <w:tab w:val="clear" w:pos="9072"/>
        <w:tab w:val="left" w:pos="5559"/>
      </w:tabs>
      <w:spacing w:before="144" w:after="144"/>
      <w:rPr>
        <w:sz w:val="16"/>
        <w:szCs w:val="16"/>
      </w:rPr>
    </w:pP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CD29AD">
      <w:rPr>
        <w:rFonts w:ascii="Arial" w:hAnsi="Arial" w:cs="Arial"/>
        <w:noProof/>
      </w:rPr>
      <w:tab/>
    </w:r>
    <w:r w:rsidR="005B46B2" w:rsidRPr="000A5B2F">
      <w:rPr>
        <w:noProof/>
        <w:lang w:eastAsia="pl-PL"/>
      </w:rPr>
      <w:drawing>
        <wp:inline distT="0" distB="0" distL="0" distR="0" wp14:anchorId="0A2DC65F" wp14:editId="5CF3B62C">
          <wp:extent cx="1704975" cy="381000"/>
          <wp:effectExtent l="0" t="0" r="0" b="0"/>
          <wp:docPr id="27" name="Obraz 27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0C19E" w14:textId="77777777" w:rsidR="00F67CE3" w:rsidRDefault="00F67C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C80873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4370"/>
    <w:multiLevelType w:val="hybridMultilevel"/>
    <w:tmpl w:val="B83A2218"/>
    <w:lvl w:ilvl="0" w:tplc="B6CEA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560"/>
    <w:multiLevelType w:val="hybridMultilevel"/>
    <w:tmpl w:val="C952D3F0"/>
    <w:lvl w:ilvl="0" w:tplc="F0C2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91A"/>
    <w:multiLevelType w:val="hybridMultilevel"/>
    <w:tmpl w:val="2E76EA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1A32"/>
    <w:multiLevelType w:val="hybridMultilevel"/>
    <w:tmpl w:val="431632A0"/>
    <w:lvl w:ilvl="0" w:tplc="F05CC17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C6E"/>
    <w:multiLevelType w:val="hybridMultilevel"/>
    <w:tmpl w:val="72324F56"/>
    <w:lvl w:ilvl="0" w:tplc="A614D8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61150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2DD6"/>
    <w:multiLevelType w:val="hybridMultilevel"/>
    <w:tmpl w:val="387A0912"/>
    <w:lvl w:ilvl="0" w:tplc="5C300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8AB"/>
    <w:multiLevelType w:val="hybridMultilevel"/>
    <w:tmpl w:val="89CCFE0C"/>
    <w:lvl w:ilvl="0" w:tplc="889415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6631"/>
    <w:multiLevelType w:val="hybridMultilevel"/>
    <w:tmpl w:val="5DEE0742"/>
    <w:lvl w:ilvl="0" w:tplc="A754BDB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56390"/>
    <w:multiLevelType w:val="hybridMultilevel"/>
    <w:tmpl w:val="C97042F6"/>
    <w:lvl w:ilvl="0" w:tplc="4D6EF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5224F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2088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6771"/>
    <w:multiLevelType w:val="hybridMultilevel"/>
    <w:tmpl w:val="297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6886"/>
    <w:multiLevelType w:val="hybridMultilevel"/>
    <w:tmpl w:val="0F323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55327C"/>
    <w:multiLevelType w:val="hybridMultilevel"/>
    <w:tmpl w:val="33A83A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83088">
    <w:abstractNumId w:val="13"/>
  </w:num>
  <w:num w:numId="2" w16cid:durableId="670253616">
    <w:abstractNumId w:val="14"/>
  </w:num>
  <w:num w:numId="3" w16cid:durableId="920531153">
    <w:abstractNumId w:val="10"/>
  </w:num>
  <w:num w:numId="4" w16cid:durableId="1171987365">
    <w:abstractNumId w:val="2"/>
  </w:num>
  <w:num w:numId="5" w16cid:durableId="1114442385">
    <w:abstractNumId w:val="0"/>
  </w:num>
  <w:num w:numId="6" w16cid:durableId="2097095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4216658">
    <w:abstractNumId w:val="3"/>
  </w:num>
  <w:num w:numId="8" w16cid:durableId="75788172">
    <w:abstractNumId w:val="9"/>
  </w:num>
  <w:num w:numId="9" w16cid:durableId="612248572">
    <w:abstractNumId w:val="8"/>
  </w:num>
  <w:num w:numId="10" w16cid:durableId="2078241008">
    <w:abstractNumId w:val="6"/>
  </w:num>
  <w:num w:numId="11" w16cid:durableId="1970822628">
    <w:abstractNumId w:val="4"/>
  </w:num>
  <w:num w:numId="12" w16cid:durableId="570390191">
    <w:abstractNumId w:val="1"/>
  </w:num>
  <w:num w:numId="13" w16cid:durableId="98109183">
    <w:abstractNumId w:val="7"/>
  </w:num>
  <w:num w:numId="14" w16cid:durableId="233316602">
    <w:abstractNumId w:val="5"/>
  </w:num>
  <w:num w:numId="15" w16cid:durableId="162211140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76"/>
    <w:rsid w:val="00002716"/>
    <w:rsid w:val="00002C11"/>
    <w:rsid w:val="000030C5"/>
    <w:rsid w:val="000033B0"/>
    <w:rsid w:val="00003DEB"/>
    <w:rsid w:val="00004427"/>
    <w:rsid w:val="00004BAA"/>
    <w:rsid w:val="00005405"/>
    <w:rsid w:val="00006028"/>
    <w:rsid w:val="000062AD"/>
    <w:rsid w:val="000072D8"/>
    <w:rsid w:val="00010873"/>
    <w:rsid w:val="00010BC2"/>
    <w:rsid w:val="000126F8"/>
    <w:rsid w:val="00013256"/>
    <w:rsid w:val="000136F8"/>
    <w:rsid w:val="00013F4E"/>
    <w:rsid w:val="00014548"/>
    <w:rsid w:val="00020FD4"/>
    <w:rsid w:val="000226AB"/>
    <w:rsid w:val="00022FD8"/>
    <w:rsid w:val="00026B79"/>
    <w:rsid w:val="00026F6E"/>
    <w:rsid w:val="00027378"/>
    <w:rsid w:val="000273F9"/>
    <w:rsid w:val="000317DC"/>
    <w:rsid w:val="00034C1E"/>
    <w:rsid w:val="00035F36"/>
    <w:rsid w:val="00037A39"/>
    <w:rsid w:val="00040A4A"/>
    <w:rsid w:val="00043356"/>
    <w:rsid w:val="00044468"/>
    <w:rsid w:val="0004501D"/>
    <w:rsid w:val="0004528D"/>
    <w:rsid w:val="000452EC"/>
    <w:rsid w:val="000479EB"/>
    <w:rsid w:val="00051012"/>
    <w:rsid w:val="000517E0"/>
    <w:rsid w:val="00051F49"/>
    <w:rsid w:val="00052D29"/>
    <w:rsid w:val="000536C3"/>
    <w:rsid w:val="00053C33"/>
    <w:rsid w:val="000546F0"/>
    <w:rsid w:val="00055219"/>
    <w:rsid w:val="00055DCA"/>
    <w:rsid w:val="000565E5"/>
    <w:rsid w:val="000575F4"/>
    <w:rsid w:val="000578F3"/>
    <w:rsid w:val="00060437"/>
    <w:rsid w:val="00061E7E"/>
    <w:rsid w:val="000666DE"/>
    <w:rsid w:val="000710BD"/>
    <w:rsid w:val="000719CA"/>
    <w:rsid w:val="00072D0F"/>
    <w:rsid w:val="0007713A"/>
    <w:rsid w:val="000775A6"/>
    <w:rsid w:val="00080497"/>
    <w:rsid w:val="000830D5"/>
    <w:rsid w:val="000838A4"/>
    <w:rsid w:val="00085031"/>
    <w:rsid w:val="00085D5A"/>
    <w:rsid w:val="000863B4"/>
    <w:rsid w:val="000902D9"/>
    <w:rsid w:val="00092696"/>
    <w:rsid w:val="000930A6"/>
    <w:rsid w:val="00093297"/>
    <w:rsid w:val="00093C29"/>
    <w:rsid w:val="00093D27"/>
    <w:rsid w:val="00095E50"/>
    <w:rsid w:val="000975E2"/>
    <w:rsid w:val="00097D21"/>
    <w:rsid w:val="000A081B"/>
    <w:rsid w:val="000A14C0"/>
    <w:rsid w:val="000A19FE"/>
    <w:rsid w:val="000A2D12"/>
    <w:rsid w:val="000A52A3"/>
    <w:rsid w:val="000A59AA"/>
    <w:rsid w:val="000A6529"/>
    <w:rsid w:val="000A6AD2"/>
    <w:rsid w:val="000B0046"/>
    <w:rsid w:val="000B054B"/>
    <w:rsid w:val="000B0B13"/>
    <w:rsid w:val="000B1123"/>
    <w:rsid w:val="000B2D34"/>
    <w:rsid w:val="000B377E"/>
    <w:rsid w:val="000B4806"/>
    <w:rsid w:val="000B60CD"/>
    <w:rsid w:val="000B6674"/>
    <w:rsid w:val="000C1A1B"/>
    <w:rsid w:val="000C1AEB"/>
    <w:rsid w:val="000C1D62"/>
    <w:rsid w:val="000C2A30"/>
    <w:rsid w:val="000C2E56"/>
    <w:rsid w:val="000C350C"/>
    <w:rsid w:val="000C3F38"/>
    <w:rsid w:val="000D19F2"/>
    <w:rsid w:val="000D32EE"/>
    <w:rsid w:val="000D47AA"/>
    <w:rsid w:val="000D4A8F"/>
    <w:rsid w:val="000D600B"/>
    <w:rsid w:val="000D6116"/>
    <w:rsid w:val="000E0C8E"/>
    <w:rsid w:val="000E1000"/>
    <w:rsid w:val="000E11F1"/>
    <w:rsid w:val="000E2EEE"/>
    <w:rsid w:val="000E46D0"/>
    <w:rsid w:val="000E6136"/>
    <w:rsid w:val="000E727D"/>
    <w:rsid w:val="000F02C1"/>
    <w:rsid w:val="000F0DB5"/>
    <w:rsid w:val="000F0FE3"/>
    <w:rsid w:val="000F1DC2"/>
    <w:rsid w:val="000F27BA"/>
    <w:rsid w:val="000F295C"/>
    <w:rsid w:val="000F64AF"/>
    <w:rsid w:val="000F72F8"/>
    <w:rsid w:val="000F7537"/>
    <w:rsid w:val="00102E5E"/>
    <w:rsid w:val="0010318F"/>
    <w:rsid w:val="00103A20"/>
    <w:rsid w:val="00104E9D"/>
    <w:rsid w:val="00110407"/>
    <w:rsid w:val="0011161E"/>
    <w:rsid w:val="00112990"/>
    <w:rsid w:val="00114FDE"/>
    <w:rsid w:val="00115F40"/>
    <w:rsid w:val="0011644D"/>
    <w:rsid w:val="00121F2F"/>
    <w:rsid w:val="0012200A"/>
    <w:rsid w:val="00122920"/>
    <w:rsid w:val="0012340D"/>
    <w:rsid w:val="001265AA"/>
    <w:rsid w:val="00130E21"/>
    <w:rsid w:val="0013162B"/>
    <w:rsid w:val="001327DB"/>
    <w:rsid w:val="00134102"/>
    <w:rsid w:val="0013493F"/>
    <w:rsid w:val="00134F92"/>
    <w:rsid w:val="0013531F"/>
    <w:rsid w:val="0013551A"/>
    <w:rsid w:val="001403E0"/>
    <w:rsid w:val="00140ACB"/>
    <w:rsid w:val="001435DF"/>
    <w:rsid w:val="00143B24"/>
    <w:rsid w:val="001455C8"/>
    <w:rsid w:val="001458FD"/>
    <w:rsid w:val="001465A3"/>
    <w:rsid w:val="00147AAF"/>
    <w:rsid w:val="00152A52"/>
    <w:rsid w:val="00154ACF"/>
    <w:rsid w:val="001564A5"/>
    <w:rsid w:val="00156913"/>
    <w:rsid w:val="0015758E"/>
    <w:rsid w:val="00161757"/>
    <w:rsid w:val="00161C30"/>
    <w:rsid w:val="00163152"/>
    <w:rsid w:val="001636DF"/>
    <w:rsid w:val="0016599A"/>
    <w:rsid w:val="00165E65"/>
    <w:rsid w:val="001662A0"/>
    <w:rsid w:val="00166BB0"/>
    <w:rsid w:val="00166C13"/>
    <w:rsid w:val="00167E2F"/>
    <w:rsid w:val="00167F0A"/>
    <w:rsid w:val="00172C3A"/>
    <w:rsid w:val="00172E83"/>
    <w:rsid w:val="001732EA"/>
    <w:rsid w:val="00173CB5"/>
    <w:rsid w:val="00174500"/>
    <w:rsid w:val="001750CB"/>
    <w:rsid w:val="00177C52"/>
    <w:rsid w:val="00180AFB"/>
    <w:rsid w:val="00182814"/>
    <w:rsid w:val="00184628"/>
    <w:rsid w:val="001848BF"/>
    <w:rsid w:val="00185AB9"/>
    <w:rsid w:val="001873FC"/>
    <w:rsid w:val="0018786E"/>
    <w:rsid w:val="00190C2E"/>
    <w:rsid w:val="00192548"/>
    <w:rsid w:val="00192AC2"/>
    <w:rsid w:val="00192DD1"/>
    <w:rsid w:val="0019478C"/>
    <w:rsid w:val="00195FFC"/>
    <w:rsid w:val="001961B6"/>
    <w:rsid w:val="0019641C"/>
    <w:rsid w:val="0019659C"/>
    <w:rsid w:val="00196D68"/>
    <w:rsid w:val="001A127E"/>
    <w:rsid w:val="001A2567"/>
    <w:rsid w:val="001A2A5C"/>
    <w:rsid w:val="001A4392"/>
    <w:rsid w:val="001A4E04"/>
    <w:rsid w:val="001A6554"/>
    <w:rsid w:val="001B0FAC"/>
    <w:rsid w:val="001B152A"/>
    <w:rsid w:val="001B1EA4"/>
    <w:rsid w:val="001B2F27"/>
    <w:rsid w:val="001B440A"/>
    <w:rsid w:val="001B49B1"/>
    <w:rsid w:val="001C1B65"/>
    <w:rsid w:val="001C20EE"/>
    <w:rsid w:val="001C26C2"/>
    <w:rsid w:val="001C3349"/>
    <w:rsid w:val="001C34B0"/>
    <w:rsid w:val="001C4B06"/>
    <w:rsid w:val="001C4F43"/>
    <w:rsid w:val="001C5DAD"/>
    <w:rsid w:val="001D0885"/>
    <w:rsid w:val="001D1626"/>
    <w:rsid w:val="001D1C13"/>
    <w:rsid w:val="001D233E"/>
    <w:rsid w:val="001D2530"/>
    <w:rsid w:val="001D258D"/>
    <w:rsid w:val="001D2B35"/>
    <w:rsid w:val="001D353E"/>
    <w:rsid w:val="001D35D8"/>
    <w:rsid w:val="001D5417"/>
    <w:rsid w:val="001D7381"/>
    <w:rsid w:val="001E12C2"/>
    <w:rsid w:val="001E2409"/>
    <w:rsid w:val="001E5AE2"/>
    <w:rsid w:val="001E5DC5"/>
    <w:rsid w:val="001F0850"/>
    <w:rsid w:val="001F0ECD"/>
    <w:rsid w:val="001F11A6"/>
    <w:rsid w:val="001F142C"/>
    <w:rsid w:val="001F1684"/>
    <w:rsid w:val="001F1CBD"/>
    <w:rsid w:val="001F2491"/>
    <w:rsid w:val="001F2731"/>
    <w:rsid w:val="001F499D"/>
    <w:rsid w:val="001F520E"/>
    <w:rsid w:val="001F5624"/>
    <w:rsid w:val="001F7A84"/>
    <w:rsid w:val="001F7F8A"/>
    <w:rsid w:val="00200059"/>
    <w:rsid w:val="00203815"/>
    <w:rsid w:val="00204D27"/>
    <w:rsid w:val="00204E20"/>
    <w:rsid w:val="00211A08"/>
    <w:rsid w:val="002138FE"/>
    <w:rsid w:val="00214F58"/>
    <w:rsid w:val="00215E0E"/>
    <w:rsid w:val="0021654C"/>
    <w:rsid w:val="00216CDB"/>
    <w:rsid w:val="00217FE7"/>
    <w:rsid w:val="00220E6E"/>
    <w:rsid w:val="002213D4"/>
    <w:rsid w:val="0022627D"/>
    <w:rsid w:val="00226B92"/>
    <w:rsid w:val="00230836"/>
    <w:rsid w:val="002317E4"/>
    <w:rsid w:val="00231AD2"/>
    <w:rsid w:val="00232644"/>
    <w:rsid w:val="002341C7"/>
    <w:rsid w:val="0023462C"/>
    <w:rsid w:val="002346C3"/>
    <w:rsid w:val="002354CF"/>
    <w:rsid w:val="002356F2"/>
    <w:rsid w:val="00237DCA"/>
    <w:rsid w:val="00237F1A"/>
    <w:rsid w:val="00241025"/>
    <w:rsid w:val="0024156E"/>
    <w:rsid w:val="00243BEF"/>
    <w:rsid w:val="002447AC"/>
    <w:rsid w:val="00245CBA"/>
    <w:rsid w:val="00247E13"/>
    <w:rsid w:val="002511F5"/>
    <w:rsid w:val="002533BB"/>
    <w:rsid w:val="00253427"/>
    <w:rsid w:val="0025584C"/>
    <w:rsid w:val="00255ADA"/>
    <w:rsid w:val="00255BA9"/>
    <w:rsid w:val="00255C71"/>
    <w:rsid w:val="00257186"/>
    <w:rsid w:val="0025748C"/>
    <w:rsid w:val="002601B9"/>
    <w:rsid w:val="002612FF"/>
    <w:rsid w:val="002639D9"/>
    <w:rsid w:val="002644B1"/>
    <w:rsid w:val="00264AC4"/>
    <w:rsid w:val="00265256"/>
    <w:rsid w:val="00265DDA"/>
    <w:rsid w:val="00265E3C"/>
    <w:rsid w:val="00266758"/>
    <w:rsid w:val="0026712B"/>
    <w:rsid w:val="0027083B"/>
    <w:rsid w:val="00270BF4"/>
    <w:rsid w:val="00272B55"/>
    <w:rsid w:val="00274ED6"/>
    <w:rsid w:val="002752AA"/>
    <w:rsid w:val="00276422"/>
    <w:rsid w:val="002771E9"/>
    <w:rsid w:val="002808FF"/>
    <w:rsid w:val="00280B0A"/>
    <w:rsid w:val="00282514"/>
    <w:rsid w:val="002826E5"/>
    <w:rsid w:val="002829E1"/>
    <w:rsid w:val="0028442F"/>
    <w:rsid w:val="002844AD"/>
    <w:rsid w:val="002845CA"/>
    <w:rsid w:val="0028528D"/>
    <w:rsid w:val="00286415"/>
    <w:rsid w:val="00286819"/>
    <w:rsid w:val="00286D53"/>
    <w:rsid w:val="0029049F"/>
    <w:rsid w:val="00292272"/>
    <w:rsid w:val="00293159"/>
    <w:rsid w:val="00294326"/>
    <w:rsid w:val="00295365"/>
    <w:rsid w:val="00295991"/>
    <w:rsid w:val="002A041E"/>
    <w:rsid w:val="002A0C7D"/>
    <w:rsid w:val="002A1D1A"/>
    <w:rsid w:val="002A3ACC"/>
    <w:rsid w:val="002A4EF0"/>
    <w:rsid w:val="002A5706"/>
    <w:rsid w:val="002A7AD7"/>
    <w:rsid w:val="002A7FFE"/>
    <w:rsid w:val="002B11C1"/>
    <w:rsid w:val="002B2C3D"/>
    <w:rsid w:val="002B4B2E"/>
    <w:rsid w:val="002B6A7C"/>
    <w:rsid w:val="002C1A88"/>
    <w:rsid w:val="002C3442"/>
    <w:rsid w:val="002C5275"/>
    <w:rsid w:val="002C5EEF"/>
    <w:rsid w:val="002C7B0F"/>
    <w:rsid w:val="002D09DD"/>
    <w:rsid w:val="002D1C48"/>
    <w:rsid w:val="002D6475"/>
    <w:rsid w:val="002D7F17"/>
    <w:rsid w:val="002E0530"/>
    <w:rsid w:val="002E0F33"/>
    <w:rsid w:val="002E4692"/>
    <w:rsid w:val="002E5C88"/>
    <w:rsid w:val="002E6E8F"/>
    <w:rsid w:val="002F03F4"/>
    <w:rsid w:val="002F0D52"/>
    <w:rsid w:val="002F15C0"/>
    <w:rsid w:val="002F1AA4"/>
    <w:rsid w:val="002F2365"/>
    <w:rsid w:val="002F3374"/>
    <w:rsid w:val="002F7451"/>
    <w:rsid w:val="00300470"/>
    <w:rsid w:val="0030415C"/>
    <w:rsid w:val="00305049"/>
    <w:rsid w:val="003077F0"/>
    <w:rsid w:val="00311166"/>
    <w:rsid w:val="0031356C"/>
    <w:rsid w:val="003152BA"/>
    <w:rsid w:val="003156FE"/>
    <w:rsid w:val="0031748F"/>
    <w:rsid w:val="003177E4"/>
    <w:rsid w:val="003205F9"/>
    <w:rsid w:val="00321EA9"/>
    <w:rsid w:val="00322567"/>
    <w:rsid w:val="00325362"/>
    <w:rsid w:val="0032794E"/>
    <w:rsid w:val="00333542"/>
    <w:rsid w:val="00333757"/>
    <w:rsid w:val="003369D7"/>
    <w:rsid w:val="003375A1"/>
    <w:rsid w:val="00337B7D"/>
    <w:rsid w:val="00337D15"/>
    <w:rsid w:val="00337EAC"/>
    <w:rsid w:val="003408A3"/>
    <w:rsid w:val="00341148"/>
    <w:rsid w:val="0034174B"/>
    <w:rsid w:val="003419FE"/>
    <w:rsid w:val="00342319"/>
    <w:rsid w:val="00344C2E"/>
    <w:rsid w:val="00344C66"/>
    <w:rsid w:val="00346A4B"/>
    <w:rsid w:val="003503E6"/>
    <w:rsid w:val="003505BD"/>
    <w:rsid w:val="00351209"/>
    <w:rsid w:val="0035498E"/>
    <w:rsid w:val="003562D8"/>
    <w:rsid w:val="00357A64"/>
    <w:rsid w:val="003619AC"/>
    <w:rsid w:val="00364012"/>
    <w:rsid w:val="00366631"/>
    <w:rsid w:val="00366755"/>
    <w:rsid w:val="00366FFA"/>
    <w:rsid w:val="0037035F"/>
    <w:rsid w:val="0037193D"/>
    <w:rsid w:val="00371D27"/>
    <w:rsid w:val="00374B6C"/>
    <w:rsid w:val="00375439"/>
    <w:rsid w:val="00375D38"/>
    <w:rsid w:val="003770AC"/>
    <w:rsid w:val="003773DF"/>
    <w:rsid w:val="00380643"/>
    <w:rsid w:val="003812EC"/>
    <w:rsid w:val="003837CF"/>
    <w:rsid w:val="00384E16"/>
    <w:rsid w:val="00385819"/>
    <w:rsid w:val="003864F6"/>
    <w:rsid w:val="00386B55"/>
    <w:rsid w:val="003874B4"/>
    <w:rsid w:val="0038795D"/>
    <w:rsid w:val="0039020E"/>
    <w:rsid w:val="00390224"/>
    <w:rsid w:val="003905A5"/>
    <w:rsid w:val="00390C6C"/>
    <w:rsid w:val="00390DED"/>
    <w:rsid w:val="00393294"/>
    <w:rsid w:val="00393A90"/>
    <w:rsid w:val="00394558"/>
    <w:rsid w:val="003976F1"/>
    <w:rsid w:val="003A1452"/>
    <w:rsid w:val="003A34DB"/>
    <w:rsid w:val="003A6EEF"/>
    <w:rsid w:val="003B026E"/>
    <w:rsid w:val="003B59FB"/>
    <w:rsid w:val="003B609B"/>
    <w:rsid w:val="003B6C06"/>
    <w:rsid w:val="003B6E44"/>
    <w:rsid w:val="003C1451"/>
    <w:rsid w:val="003C14C7"/>
    <w:rsid w:val="003C1B34"/>
    <w:rsid w:val="003C2446"/>
    <w:rsid w:val="003C3484"/>
    <w:rsid w:val="003C4BEB"/>
    <w:rsid w:val="003C5D10"/>
    <w:rsid w:val="003C7F80"/>
    <w:rsid w:val="003D1369"/>
    <w:rsid w:val="003D1574"/>
    <w:rsid w:val="003D16CC"/>
    <w:rsid w:val="003D1FDD"/>
    <w:rsid w:val="003D2885"/>
    <w:rsid w:val="003D3938"/>
    <w:rsid w:val="003D3F38"/>
    <w:rsid w:val="003D48A9"/>
    <w:rsid w:val="003D50CC"/>
    <w:rsid w:val="003D5A18"/>
    <w:rsid w:val="003D6269"/>
    <w:rsid w:val="003D672E"/>
    <w:rsid w:val="003D779C"/>
    <w:rsid w:val="003D77C6"/>
    <w:rsid w:val="003E18F6"/>
    <w:rsid w:val="003E4EB8"/>
    <w:rsid w:val="003E7044"/>
    <w:rsid w:val="003E789C"/>
    <w:rsid w:val="003E78C7"/>
    <w:rsid w:val="003F06BC"/>
    <w:rsid w:val="003F1B5D"/>
    <w:rsid w:val="003F2657"/>
    <w:rsid w:val="003F2A2A"/>
    <w:rsid w:val="003F3A1E"/>
    <w:rsid w:val="003F58EB"/>
    <w:rsid w:val="003F5E54"/>
    <w:rsid w:val="003F5FC4"/>
    <w:rsid w:val="003F6996"/>
    <w:rsid w:val="003F6DBA"/>
    <w:rsid w:val="00400591"/>
    <w:rsid w:val="00400805"/>
    <w:rsid w:val="00402411"/>
    <w:rsid w:val="004040CC"/>
    <w:rsid w:val="00407117"/>
    <w:rsid w:val="00412333"/>
    <w:rsid w:val="0041286D"/>
    <w:rsid w:val="00412FB1"/>
    <w:rsid w:val="00413BDB"/>
    <w:rsid w:val="00414D64"/>
    <w:rsid w:val="00414ED9"/>
    <w:rsid w:val="0041697D"/>
    <w:rsid w:val="00417BC4"/>
    <w:rsid w:val="00417CD9"/>
    <w:rsid w:val="00420799"/>
    <w:rsid w:val="00422796"/>
    <w:rsid w:val="0042698F"/>
    <w:rsid w:val="00427DC6"/>
    <w:rsid w:val="00427FBF"/>
    <w:rsid w:val="0043189E"/>
    <w:rsid w:val="00433892"/>
    <w:rsid w:val="00435608"/>
    <w:rsid w:val="00436864"/>
    <w:rsid w:val="00436888"/>
    <w:rsid w:val="004376CC"/>
    <w:rsid w:val="00440BB3"/>
    <w:rsid w:val="00441001"/>
    <w:rsid w:val="00441A43"/>
    <w:rsid w:val="00442315"/>
    <w:rsid w:val="004438FE"/>
    <w:rsid w:val="00445D37"/>
    <w:rsid w:val="00445D82"/>
    <w:rsid w:val="00447A34"/>
    <w:rsid w:val="004501FA"/>
    <w:rsid w:val="00450B18"/>
    <w:rsid w:val="00451794"/>
    <w:rsid w:val="00451A01"/>
    <w:rsid w:val="00452C7E"/>
    <w:rsid w:val="00452D63"/>
    <w:rsid w:val="00455EEF"/>
    <w:rsid w:val="00456E74"/>
    <w:rsid w:val="00460770"/>
    <w:rsid w:val="00460C86"/>
    <w:rsid w:val="00462C9B"/>
    <w:rsid w:val="00462E12"/>
    <w:rsid w:val="00465AF8"/>
    <w:rsid w:val="00465DD6"/>
    <w:rsid w:val="0046673E"/>
    <w:rsid w:val="004676B5"/>
    <w:rsid w:val="00467BCB"/>
    <w:rsid w:val="00470856"/>
    <w:rsid w:val="00470E46"/>
    <w:rsid w:val="00474436"/>
    <w:rsid w:val="00475C2E"/>
    <w:rsid w:val="00477AC0"/>
    <w:rsid w:val="004806E7"/>
    <w:rsid w:val="00480CFB"/>
    <w:rsid w:val="00483BE0"/>
    <w:rsid w:val="00484263"/>
    <w:rsid w:val="00484575"/>
    <w:rsid w:val="004866B2"/>
    <w:rsid w:val="00486BD1"/>
    <w:rsid w:val="004913CC"/>
    <w:rsid w:val="00491545"/>
    <w:rsid w:val="0049265B"/>
    <w:rsid w:val="00493ED5"/>
    <w:rsid w:val="00494829"/>
    <w:rsid w:val="00497D40"/>
    <w:rsid w:val="004A07D3"/>
    <w:rsid w:val="004A0B15"/>
    <w:rsid w:val="004A1C6A"/>
    <w:rsid w:val="004A1C98"/>
    <w:rsid w:val="004A1EA9"/>
    <w:rsid w:val="004A2F25"/>
    <w:rsid w:val="004A44A5"/>
    <w:rsid w:val="004A6789"/>
    <w:rsid w:val="004B124B"/>
    <w:rsid w:val="004B22CA"/>
    <w:rsid w:val="004B337C"/>
    <w:rsid w:val="004B5178"/>
    <w:rsid w:val="004B62EF"/>
    <w:rsid w:val="004B6FAC"/>
    <w:rsid w:val="004B7B32"/>
    <w:rsid w:val="004B7C13"/>
    <w:rsid w:val="004C294F"/>
    <w:rsid w:val="004C4625"/>
    <w:rsid w:val="004C5859"/>
    <w:rsid w:val="004C6971"/>
    <w:rsid w:val="004C6F0E"/>
    <w:rsid w:val="004D053A"/>
    <w:rsid w:val="004D105C"/>
    <w:rsid w:val="004D111D"/>
    <w:rsid w:val="004D3EB5"/>
    <w:rsid w:val="004D5928"/>
    <w:rsid w:val="004D5D31"/>
    <w:rsid w:val="004D6CDD"/>
    <w:rsid w:val="004D7430"/>
    <w:rsid w:val="004E1450"/>
    <w:rsid w:val="004E3816"/>
    <w:rsid w:val="004E3CF0"/>
    <w:rsid w:val="004E40BA"/>
    <w:rsid w:val="004E4E56"/>
    <w:rsid w:val="004E4F46"/>
    <w:rsid w:val="004E6D03"/>
    <w:rsid w:val="004F4478"/>
    <w:rsid w:val="004F77BF"/>
    <w:rsid w:val="00500A9C"/>
    <w:rsid w:val="00502053"/>
    <w:rsid w:val="00502D70"/>
    <w:rsid w:val="00504274"/>
    <w:rsid w:val="00504B4E"/>
    <w:rsid w:val="00504D14"/>
    <w:rsid w:val="00504F52"/>
    <w:rsid w:val="00505A7C"/>
    <w:rsid w:val="005078C3"/>
    <w:rsid w:val="0051110B"/>
    <w:rsid w:val="00512671"/>
    <w:rsid w:val="00516E33"/>
    <w:rsid w:val="00516E53"/>
    <w:rsid w:val="0052090F"/>
    <w:rsid w:val="00525198"/>
    <w:rsid w:val="0052723C"/>
    <w:rsid w:val="00527C0E"/>
    <w:rsid w:val="00532A40"/>
    <w:rsid w:val="00532F17"/>
    <w:rsid w:val="00532FE4"/>
    <w:rsid w:val="0053358D"/>
    <w:rsid w:val="00534E51"/>
    <w:rsid w:val="005359CE"/>
    <w:rsid w:val="005370C6"/>
    <w:rsid w:val="00540426"/>
    <w:rsid w:val="00543752"/>
    <w:rsid w:val="00543770"/>
    <w:rsid w:val="005443AF"/>
    <w:rsid w:val="0054646E"/>
    <w:rsid w:val="005465BE"/>
    <w:rsid w:val="00546A74"/>
    <w:rsid w:val="005517B9"/>
    <w:rsid w:val="0055197A"/>
    <w:rsid w:val="00551C05"/>
    <w:rsid w:val="00551F43"/>
    <w:rsid w:val="00552B4C"/>
    <w:rsid w:val="00554E1C"/>
    <w:rsid w:val="0055551A"/>
    <w:rsid w:val="00555740"/>
    <w:rsid w:val="005565E9"/>
    <w:rsid w:val="00556B13"/>
    <w:rsid w:val="00556D9A"/>
    <w:rsid w:val="00557000"/>
    <w:rsid w:val="00557BE7"/>
    <w:rsid w:val="00557BF6"/>
    <w:rsid w:val="00557F78"/>
    <w:rsid w:val="00560B36"/>
    <w:rsid w:val="005645F8"/>
    <w:rsid w:val="0056496A"/>
    <w:rsid w:val="00566DB0"/>
    <w:rsid w:val="005673D0"/>
    <w:rsid w:val="005701B2"/>
    <w:rsid w:val="00570F16"/>
    <w:rsid w:val="005718FA"/>
    <w:rsid w:val="005719A4"/>
    <w:rsid w:val="005730CF"/>
    <w:rsid w:val="005733C6"/>
    <w:rsid w:val="005736AE"/>
    <w:rsid w:val="00573F63"/>
    <w:rsid w:val="00575E4A"/>
    <w:rsid w:val="005762B7"/>
    <w:rsid w:val="0057754A"/>
    <w:rsid w:val="00577D73"/>
    <w:rsid w:val="00580A00"/>
    <w:rsid w:val="00583092"/>
    <w:rsid w:val="00584219"/>
    <w:rsid w:val="0058555C"/>
    <w:rsid w:val="005857F6"/>
    <w:rsid w:val="00586EE6"/>
    <w:rsid w:val="00587207"/>
    <w:rsid w:val="005874A5"/>
    <w:rsid w:val="00587FB8"/>
    <w:rsid w:val="0059088A"/>
    <w:rsid w:val="00590B14"/>
    <w:rsid w:val="00594F51"/>
    <w:rsid w:val="00597E8D"/>
    <w:rsid w:val="005A0320"/>
    <w:rsid w:val="005A0F04"/>
    <w:rsid w:val="005A1D78"/>
    <w:rsid w:val="005A41DA"/>
    <w:rsid w:val="005A5029"/>
    <w:rsid w:val="005A50A0"/>
    <w:rsid w:val="005A73C9"/>
    <w:rsid w:val="005A76A7"/>
    <w:rsid w:val="005B1A89"/>
    <w:rsid w:val="005B3514"/>
    <w:rsid w:val="005B403E"/>
    <w:rsid w:val="005B46B2"/>
    <w:rsid w:val="005B5A6E"/>
    <w:rsid w:val="005B5E2C"/>
    <w:rsid w:val="005B5E8E"/>
    <w:rsid w:val="005B5EFC"/>
    <w:rsid w:val="005B64D9"/>
    <w:rsid w:val="005B69E0"/>
    <w:rsid w:val="005B6FE4"/>
    <w:rsid w:val="005B737E"/>
    <w:rsid w:val="005B7778"/>
    <w:rsid w:val="005C057F"/>
    <w:rsid w:val="005C227D"/>
    <w:rsid w:val="005C308A"/>
    <w:rsid w:val="005C47D0"/>
    <w:rsid w:val="005D1AA3"/>
    <w:rsid w:val="005D365C"/>
    <w:rsid w:val="005D37DE"/>
    <w:rsid w:val="005D5B40"/>
    <w:rsid w:val="005D7307"/>
    <w:rsid w:val="005D7C5C"/>
    <w:rsid w:val="005E0CB1"/>
    <w:rsid w:val="005E11F5"/>
    <w:rsid w:val="005E259A"/>
    <w:rsid w:val="005E3A0E"/>
    <w:rsid w:val="005E7723"/>
    <w:rsid w:val="005E7890"/>
    <w:rsid w:val="005E79B9"/>
    <w:rsid w:val="005F0927"/>
    <w:rsid w:val="005F166D"/>
    <w:rsid w:val="005F2BA2"/>
    <w:rsid w:val="005F3EAE"/>
    <w:rsid w:val="005F4918"/>
    <w:rsid w:val="005F4AA7"/>
    <w:rsid w:val="005F4B72"/>
    <w:rsid w:val="005F4EFA"/>
    <w:rsid w:val="005F5F25"/>
    <w:rsid w:val="005F6AAB"/>
    <w:rsid w:val="005F757E"/>
    <w:rsid w:val="006006EF"/>
    <w:rsid w:val="00601FB9"/>
    <w:rsid w:val="00602461"/>
    <w:rsid w:val="00603373"/>
    <w:rsid w:val="00603503"/>
    <w:rsid w:val="00603605"/>
    <w:rsid w:val="0060557C"/>
    <w:rsid w:val="00605D03"/>
    <w:rsid w:val="00605D66"/>
    <w:rsid w:val="00606373"/>
    <w:rsid w:val="0060666A"/>
    <w:rsid w:val="00611D1D"/>
    <w:rsid w:val="00612DB6"/>
    <w:rsid w:val="00614CDD"/>
    <w:rsid w:val="006151E2"/>
    <w:rsid w:val="006213AC"/>
    <w:rsid w:val="00621514"/>
    <w:rsid w:val="0062383F"/>
    <w:rsid w:val="00623E3E"/>
    <w:rsid w:val="00623EAB"/>
    <w:rsid w:val="00626307"/>
    <w:rsid w:val="006265B3"/>
    <w:rsid w:val="0062700C"/>
    <w:rsid w:val="00631193"/>
    <w:rsid w:val="00631265"/>
    <w:rsid w:val="0063202C"/>
    <w:rsid w:val="00633EE7"/>
    <w:rsid w:val="006344E6"/>
    <w:rsid w:val="00634BB7"/>
    <w:rsid w:val="00634BCB"/>
    <w:rsid w:val="0063616F"/>
    <w:rsid w:val="00636B37"/>
    <w:rsid w:val="00637367"/>
    <w:rsid w:val="006373D8"/>
    <w:rsid w:val="00637471"/>
    <w:rsid w:val="0063753E"/>
    <w:rsid w:val="00640013"/>
    <w:rsid w:val="00640260"/>
    <w:rsid w:val="00640665"/>
    <w:rsid w:val="0064347E"/>
    <w:rsid w:val="00643AB7"/>
    <w:rsid w:val="006443C2"/>
    <w:rsid w:val="00644CFD"/>
    <w:rsid w:val="006507A9"/>
    <w:rsid w:val="00650BE8"/>
    <w:rsid w:val="006534E2"/>
    <w:rsid w:val="00653E64"/>
    <w:rsid w:val="006558FF"/>
    <w:rsid w:val="00655C9F"/>
    <w:rsid w:val="00656433"/>
    <w:rsid w:val="00656D33"/>
    <w:rsid w:val="00657EEE"/>
    <w:rsid w:val="006604C4"/>
    <w:rsid w:val="006618CA"/>
    <w:rsid w:val="00663BA8"/>
    <w:rsid w:val="00664B8F"/>
    <w:rsid w:val="00667DA2"/>
    <w:rsid w:val="00670763"/>
    <w:rsid w:val="00670B72"/>
    <w:rsid w:val="00671C14"/>
    <w:rsid w:val="00672E84"/>
    <w:rsid w:val="0067303B"/>
    <w:rsid w:val="006745AB"/>
    <w:rsid w:val="00674FC4"/>
    <w:rsid w:val="00675EC4"/>
    <w:rsid w:val="00675F56"/>
    <w:rsid w:val="0067784B"/>
    <w:rsid w:val="00677C62"/>
    <w:rsid w:val="006803CC"/>
    <w:rsid w:val="0068065B"/>
    <w:rsid w:val="006809C4"/>
    <w:rsid w:val="0068375E"/>
    <w:rsid w:val="006839E1"/>
    <w:rsid w:val="00684527"/>
    <w:rsid w:val="006856FE"/>
    <w:rsid w:val="0068605D"/>
    <w:rsid w:val="00686462"/>
    <w:rsid w:val="00687B32"/>
    <w:rsid w:val="00691754"/>
    <w:rsid w:val="00691C29"/>
    <w:rsid w:val="00692701"/>
    <w:rsid w:val="00692A67"/>
    <w:rsid w:val="00694FA2"/>
    <w:rsid w:val="00695BFD"/>
    <w:rsid w:val="006A0E3F"/>
    <w:rsid w:val="006A3156"/>
    <w:rsid w:val="006A50BE"/>
    <w:rsid w:val="006A566F"/>
    <w:rsid w:val="006B0C0D"/>
    <w:rsid w:val="006B133E"/>
    <w:rsid w:val="006B199D"/>
    <w:rsid w:val="006B19B6"/>
    <w:rsid w:val="006B1A34"/>
    <w:rsid w:val="006B2CB7"/>
    <w:rsid w:val="006B4680"/>
    <w:rsid w:val="006B4990"/>
    <w:rsid w:val="006B4B26"/>
    <w:rsid w:val="006B7F73"/>
    <w:rsid w:val="006C24E1"/>
    <w:rsid w:val="006C49C4"/>
    <w:rsid w:val="006C521A"/>
    <w:rsid w:val="006C69EF"/>
    <w:rsid w:val="006C7A63"/>
    <w:rsid w:val="006D02CA"/>
    <w:rsid w:val="006D1BB3"/>
    <w:rsid w:val="006D20F8"/>
    <w:rsid w:val="006D2687"/>
    <w:rsid w:val="006D437B"/>
    <w:rsid w:val="006D480A"/>
    <w:rsid w:val="006D5C4B"/>
    <w:rsid w:val="006D6340"/>
    <w:rsid w:val="006D652B"/>
    <w:rsid w:val="006E01AB"/>
    <w:rsid w:val="006E06F2"/>
    <w:rsid w:val="006E24E9"/>
    <w:rsid w:val="006E313B"/>
    <w:rsid w:val="006E39B9"/>
    <w:rsid w:val="006E3CBD"/>
    <w:rsid w:val="006E3D31"/>
    <w:rsid w:val="006E45EA"/>
    <w:rsid w:val="006E465E"/>
    <w:rsid w:val="006E5B20"/>
    <w:rsid w:val="006E640F"/>
    <w:rsid w:val="006F0A36"/>
    <w:rsid w:val="006F115A"/>
    <w:rsid w:val="006F2D5D"/>
    <w:rsid w:val="006F3107"/>
    <w:rsid w:val="006F3934"/>
    <w:rsid w:val="006F434E"/>
    <w:rsid w:val="006F43F0"/>
    <w:rsid w:val="006F50A2"/>
    <w:rsid w:val="006F64C7"/>
    <w:rsid w:val="00700368"/>
    <w:rsid w:val="00700DAD"/>
    <w:rsid w:val="00704A6F"/>
    <w:rsid w:val="007050FD"/>
    <w:rsid w:val="00706E1C"/>
    <w:rsid w:val="00712BC6"/>
    <w:rsid w:val="007133F1"/>
    <w:rsid w:val="00714570"/>
    <w:rsid w:val="0071479C"/>
    <w:rsid w:val="007147A0"/>
    <w:rsid w:val="0071538E"/>
    <w:rsid w:val="007153D4"/>
    <w:rsid w:val="0071553F"/>
    <w:rsid w:val="00716AB0"/>
    <w:rsid w:val="00716E55"/>
    <w:rsid w:val="00720802"/>
    <w:rsid w:val="00722B86"/>
    <w:rsid w:val="00723135"/>
    <w:rsid w:val="00723C65"/>
    <w:rsid w:val="00724BCA"/>
    <w:rsid w:val="00726F6E"/>
    <w:rsid w:val="00726F9F"/>
    <w:rsid w:val="00727FE2"/>
    <w:rsid w:val="00730601"/>
    <w:rsid w:val="00734EFC"/>
    <w:rsid w:val="00736A56"/>
    <w:rsid w:val="00737099"/>
    <w:rsid w:val="007402CF"/>
    <w:rsid w:val="007402F9"/>
    <w:rsid w:val="007418CD"/>
    <w:rsid w:val="00742E25"/>
    <w:rsid w:val="007433CB"/>
    <w:rsid w:val="0074391D"/>
    <w:rsid w:val="00744A05"/>
    <w:rsid w:val="00745DA8"/>
    <w:rsid w:val="007462EC"/>
    <w:rsid w:val="007469EE"/>
    <w:rsid w:val="0075044C"/>
    <w:rsid w:val="00750C6F"/>
    <w:rsid w:val="00751017"/>
    <w:rsid w:val="00751DD1"/>
    <w:rsid w:val="007545DA"/>
    <w:rsid w:val="007545ED"/>
    <w:rsid w:val="00755021"/>
    <w:rsid w:val="007575A7"/>
    <w:rsid w:val="00757C24"/>
    <w:rsid w:val="00760805"/>
    <w:rsid w:val="0076119C"/>
    <w:rsid w:val="007612DD"/>
    <w:rsid w:val="00763355"/>
    <w:rsid w:val="00763CAA"/>
    <w:rsid w:val="00764D72"/>
    <w:rsid w:val="0076557D"/>
    <w:rsid w:val="00765F3A"/>
    <w:rsid w:val="007669A1"/>
    <w:rsid w:val="0076705C"/>
    <w:rsid w:val="007678C3"/>
    <w:rsid w:val="007726C8"/>
    <w:rsid w:val="00772B88"/>
    <w:rsid w:val="00773492"/>
    <w:rsid w:val="007734C9"/>
    <w:rsid w:val="00774960"/>
    <w:rsid w:val="00774C31"/>
    <w:rsid w:val="007763C1"/>
    <w:rsid w:val="00776629"/>
    <w:rsid w:val="00776D42"/>
    <w:rsid w:val="00776E8C"/>
    <w:rsid w:val="00777107"/>
    <w:rsid w:val="00777D3C"/>
    <w:rsid w:val="00783BBE"/>
    <w:rsid w:val="007866ED"/>
    <w:rsid w:val="00787024"/>
    <w:rsid w:val="00790093"/>
    <w:rsid w:val="00790D09"/>
    <w:rsid w:val="0079191F"/>
    <w:rsid w:val="00793B17"/>
    <w:rsid w:val="00794231"/>
    <w:rsid w:val="0079466E"/>
    <w:rsid w:val="00795A23"/>
    <w:rsid w:val="00795DA9"/>
    <w:rsid w:val="00795F31"/>
    <w:rsid w:val="00796123"/>
    <w:rsid w:val="007967B3"/>
    <w:rsid w:val="007972C6"/>
    <w:rsid w:val="00797487"/>
    <w:rsid w:val="007A042C"/>
    <w:rsid w:val="007A1398"/>
    <w:rsid w:val="007A21DF"/>
    <w:rsid w:val="007A2B1E"/>
    <w:rsid w:val="007A2CD5"/>
    <w:rsid w:val="007A2E3D"/>
    <w:rsid w:val="007A3161"/>
    <w:rsid w:val="007A3B51"/>
    <w:rsid w:val="007A3B55"/>
    <w:rsid w:val="007A50D7"/>
    <w:rsid w:val="007A6855"/>
    <w:rsid w:val="007A6FC4"/>
    <w:rsid w:val="007A78A1"/>
    <w:rsid w:val="007B18DF"/>
    <w:rsid w:val="007B1D2B"/>
    <w:rsid w:val="007B2837"/>
    <w:rsid w:val="007B30F7"/>
    <w:rsid w:val="007B5B95"/>
    <w:rsid w:val="007B6E29"/>
    <w:rsid w:val="007B70B0"/>
    <w:rsid w:val="007B7928"/>
    <w:rsid w:val="007C0273"/>
    <w:rsid w:val="007C0A1C"/>
    <w:rsid w:val="007C17A1"/>
    <w:rsid w:val="007C1B5D"/>
    <w:rsid w:val="007C1FFC"/>
    <w:rsid w:val="007C221A"/>
    <w:rsid w:val="007C3169"/>
    <w:rsid w:val="007C394B"/>
    <w:rsid w:val="007C3FA7"/>
    <w:rsid w:val="007C4396"/>
    <w:rsid w:val="007C5A58"/>
    <w:rsid w:val="007C627E"/>
    <w:rsid w:val="007C73F5"/>
    <w:rsid w:val="007C755E"/>
    <w:rsid w:val="007D247C"/>
    <w:rsid w:val="007D5504"/>
    <w:rsid w:val="007D6238"/>
    <w:rsid w:val="007E057D"/>
    <w:rsid w:val="007E1428"/>
    <w:rsid w:val="007E3BB7"/>
    <w:rsid w:val="007E4AD3"/>
    <w:rsid w:val="007E4C29"/>
    <w:rsid w:val="007E59D5"/>
    <w:rsid w:val="007E5DDF"/>
    <w:rsid w:val="007E76FB"/>
    <w:rsid w:val="007F1AC2"/>
    <w:rsid w:val="007F2244"/>
    <w:rsid w:val="007F3476"/>
    <w:rsid w:val="007F3F3D"/>
    <w:rsid w:val="007F4FE2"/>
    <w:rsid w:val="007F66B6"/>
    <w:rsid w:val="007F762C"/>
    <w:rsid w:val="007F77DE"/>
    <w:rsid w:val="00800041"/>
    <w:rsid w:val="00802E2C"/>
    <w:rsid w:val="008035FD"/>
    <w:rsid w:val="008048F6"/>
    <w:rsid w:val="00807633"/>
    <w:rsid w:val="00810DB4"/>
    <w:rsid w:val="00811FE0"/>
    <w:rsid w:val="00813F50"/>
    <w:rsid w:val="00814EFA"/>
    <w:rsid w:val="008150F9"/>
    <w:rsid w:val="00816445"/>
    <w:rsid w:val="00817FA8"/>
    <w:rsid w:val="00821CB5"/>
    <w:rsid w:val="008243CA"/>
    <w:rsid w:val="00826166"/>
    <w:rsid w:val="00827BA5"/>
    <w:rsid w:val="00832E3A"/>
    <w:rsid w:val="00835117"/>
    <w:rsid w:val="00835421"/>
    <w:rsid w:val="00840BE4"/>
    <w:rsid w:val="00847DA2"/>
    <w:rsid w:val="00851171"/>
    <w:rsid w:val="00853DB6"/>
    <w:rsid w:val="00853ED7"/>
    <w:rsid w:val="00854DE4"/>
    <w:rsid w:val="008561E8"/>
    <w:rsid w:val="0085753E"/>
    <w:rsid w:val="008612C8"/>
    <w:rsid w:val="00863674"/>
    <w:rsid w:val="00865FC4"/>
    <w:rsid w:val="00867137"/>
    <w:rsid w:val="00870A0C"/>
    <w:rsid w:val="00871F1F"/>
    <w:rsid w:val="008727A1"/>
    <w:rsid w:val="0087543C"/>
    <w:rsid w:val="008772A8"/>
    <w:rsid w:val="0088151A"/>
    <w:rsid w:val="0088213A"/>
    <w:rsid w:val="00882201"/>
    <w:rsid w:val="00883B79"/>
    <w:rsid w:val="00884E34"/>
    <w:rsid w:val="00885B63"/>
    <w:rsid w:val="008863AF"/>
    <w:rsid w:val="00886C73"/>
    <w:rsid w:val="00887451"/>
    <w:rsid w:val="00887723"/>
    <w:rsid w:val="00890ECA"/>
    <w:rsid w:val="00894447"/>
    <w:rsid w:val="0089561C"/>
    <w:rsid w:val="00896A83"/>
    <w:rsid w:val="00897290"/>
    <w:rsid w:val="00897B41"/>
    <w:rsid w:val="008A0235"/>
    <w:rsid w:val="008A1DC5"/>
    <w:rsid w:val="008A2F0A"/>
    <w:rsid w:val="008A3869"/>
    <w:rsid w:val="008A5050"/>
    <w:rsid w:val="008A5CF1"/>
    <w:rsid w:val="008A5D03"/>
    <w:rsid w:val="008A663E"/>
    <w:rsid w:val="008B24BE"/>
    <w:rsid w:val="008B36EA"/>
    <w:rsid w:val="008C2675"/>
    <w:rsid w:val="008C2B29"/>
    <w:rsid w:val="008C3480"/>
    <w:rsid w:val="008C49C7"/>
    <w:rsid w:val="008C5757"/>
    <w:rsid w:val="008C6350"/>
    <w:rsid w:val="008C7EA7"/>
    <w:rsid w:val="008D0E38"/>
    <w:rsid w:val="008D243B"/>
    <w:rsid w:val="008D57A8"/>
    <w:rsid w:val="008D5864"/>
    <w:rsid w:val="008D6546"/>
    <w:rsid w:val="008D7D44"/>
    <w:rsid w:val="008E129C"/>
    <w:rsid w:val="008E255A"/>
    <w:rsid w:val="008E3954"/>
    <w:rsid w:val="008E41BA"/>
    <w:rsid w:val="008E4FF8"/>
    <w:rsid w:val="008E5E33"/>
    <w:rsid w:val="008E6BE1"/>
    <w:rsid w:val="008E744F"/>
    <w:rsid w:val="008F07E1"/>
    <w:rsid w:val="008F253D"/>
    <w:rsid w:val="008F4D47"/>
    <w:rsid w:val="008F7259"/>
    <w:rsid w:val="0090045A"/>
    <w:rsid w:val="00900D83"/>
    <w:rsid w:val="00900F1F"/>
    <w:rsid w:val="00902927"/>
    <w:rsid w:val="00903224"/>
    <w:rsid w:val="00904E4C"/>
    <w:rsid w:val="0090588E"/>
    <w:rsid w:val="009069D9"/>
    <w:rsid w:val="00906CA9"/>
    <w:rsid w:val="00910C6C"/>
    <w:rsid w:val="009125A9"/>
    <w:rsid w:val="00914573"/>
    <w:rsid w:val="00914F5E"/>
    <w:rsid w:val="009157A4"/>
    <w:rsid w:val="00920454"/>
    <w:rsid w:val="00920613"/>
    <w:rsid w:val="00921CF3"/>
    <w:rsid w:val="0092350A"/>
    <w:rsid w:val="00923A36"/>
    <w:rsid w:val="00924266"/>
    <w:rsid w:val="00924BD5"/>
    <w:rsid w:val="00924D67"/>
    <w:rsid w:val="00925830"/>
    <w:rsid w:val="00925F8C"/>
    <w:rsid w:val="00926A56"/>
    <w:rsid w:val="009277A8"/>
    <w:rsid w:val="00927C22"/>
    <w:rsid w:val="00930C08"/>
    <w:rsid w:val="00931798"/>
    <w:rsid w:val="00931EE6"/>
    <w:rsid w:val="009321EF"/>
    <w:rsid w:val="00932CFC"/>
    <w:rsid w:val="0093346D"/>
    <w:rsid w:val="00935BB4"/>
    <w:rsid w:val="00935C3B"/>
    <w:rsid w:val="00941262"/>
    <w:rsid w:val="00941577"/>
    <w:rsid w:val="009418A5"/>
    <w:rsid w:val="009426B7"/>
    <w:rsid w:val="00942DF2"/>
    <w:rsid w:val="0094407B"/>
    <w:rsid w:val="0094417D"/>
    <w:rsid w:val="00944FA6"/>
    <w:rsid w:val="00946AFF"/>
    <w:rsid w:val="009470A1"/>
    <w:rsid w:val="00947ED0"/>
    <w:rsid w:val="00950B5D"/>
    <w:rsid w:val="00951184"/>
    <w:rsid w:val="00951F9B"/>
    <w:rsid w:val="00952798"/>
    <w:rsid w:val="0095298A"/>
    <w:rsid w:val="009533A0"/>
    <w:rsid w:val="00955C73"/>
    <w:rsid w:val="00955F52"/>
    <w:rsid w:val="009573C3"/>
    <w:rsid w:val="00957A68"/>
    <w:rsid w:val="009600FF"/>
    <w:rsid w:val="00960454"/>
    <w:rsid w:val="0096332C"/>
    <w:rsid w:val="00964000"/>
    <w:rsid w:val="009640D2"/>
    <w:rsid w:val="00964E20"/>
    <w:rsid w:val="009652D6"/>
    <w:rsid w:val="0097188B"/>
    <w:rsid w:val="0097411B"/>
    <w:rsid w:val="00974413"/>
    <w:rsid w:val="009755D5"/>
    <w:rsid w:val="00975A24"/>
    <w:rsid w:val="00977711"/>
    <w:rsid w:val="00981050"/>
    <w:rsid w:val="0098172F"/>
    <w:rsid w:val="00981886"/>
    <w:rsid w:val="0098437E"/>
    <w:rsid w:val="00985517"/>
    <w:rsid w:val="00986143"/>
    <w:rsid w:val="009861FA"/>
    <w:rsid w:val="0098739F"/>
    <w:rsid w:val="00987B33"/>
    <w:rsid w:val="009908B7"/>
    <w:rsid w:val="0099389C"/>
    <w:rsid w:val="00993BFE"/>
    <w:rsid w:val="00994D5D"/>
    <w:rsid w:val="009965A9"/>
    <w:rsid w:val="009A0C30"/>
    <w:rsid w:val="009A0DCC"/>
    <w:rsid w:val="009A254C"/>
    <w:rsid w:val="009A2865"/>
    <w:rsid w:val="009A29E0"/>
    <w:rsid w:val="009A5A6D"/>
    <w:rsid w:val="009A66E7"/>
    <w:rsid w:val="009B0E42"/>
    <w:rsid w:val="009B1995"/>
    <w:rsid w:val="009B2D5C"/>
    <w:rsid w:val="009B44EA"/>
    <w:rsid w:val="009B632B"/>
    <w:rsid w:val="009C0963"/>
    <w:rsid w:val="009C316E"/>
    <w:rsid w:val="009C4258"/>
    <w:rsid w:val="009C61FB"/>
    <w:rsid w:val="009C6570"/>
    <w:rsid w:val="009C7D88"/>
    <w:rsid w:val="009D21D4"/>
    <w:rsid w:val="009D2638"/>
    <w:rsid w:val="009D2763"/>
    <w:rsid w:val="009D2B00"/>
    <w:rsid w:val="009D3C38"/>
    <w:rsid w:val="009D5EA3"/>
    <w:rsid w:val="009E0272"/>
    <w:rsid w:val="009E03A5"/>
    <w:rsid w:val="009E062E"/>
    <w:rsid w:val="009E160B"/>
    <w:rsid w:val="009E1D45"/>
    <w:rsid w:val="009E2178"/>
    <w:rsid w:val="009E454B"/>
    <w:rsid w:val="009F04BE"/>
    <w:rsid w:val="009F1A9E"/>
    <w:rsid w:val="009F1B63"/>
    <w:rsid w:val="009F3181"/>
    <w:rsid w:val="009F6009"/>
    <w:rsid w:val="009F64BE"/>
    <w:rsid w:val="009F6C31"/>
    <w:rsid w:val="00A0187E"/>
    <w:rsid w:val="00A01A53"/>
    <w:rsid w:val="00A0219B"/>
    <w:rsid w:val="00A02D49"/>
    <w:rsid w:val="00A02EC7"/>
    <w:rsid w:val="00A03B99"/>
    <w:rsid w:val="00A04763"/>
    <w:rsid w:val="00A05834"/>
    <w:rsid w:val="00A070E4"/>
    <w:rsid w:val="00A070F2"/>
    <w:rsid w:val="00A1118F"/>
    <w:rsid w:val="00A1317B"/>
    <w:rsid w:val="00A13741"/>
    <w:rsid w:val="00A138F0"/>
    <w:rsid w:val="00A139C1"/>
    <w:rsid w:val="00A148A4"/>
    <w:rsid w:val="00A15D66"/>
    <w:rsid w:val="00A16341"/>
    <w:rsid w:val="00A16F20"/>
    <w:rsid w:val="00A1744A"/>
    <w:rsid w:val="00A20742"/>
    <w:rsid w:val="00A21A5A"/>
    <w:rsid w:val="00A238FB"/>
    <w:rsid w:val="00A23C11"/>
    <w:rsid w:val="00A24218"/>
    <w:rsid w:val="00A2487C"/>
    <w:rsid w:val="00A258A9"/>
    <w:rsid w:val="00A26596"/>
    <w:rsid w:val="00A265FC"/>
    <w:rsid w:val="00A3072B"/>
    <w:rsid w:val="00A3157B"/>
    <w:rsid w:val="00A32192"/>
    <w:rsid w:val="00A326EB"/>
    <w:rsid w:val="00A35927"/>
    <w:rsid w:val="00A36964"/>
    <w:rsid w:val="00A40AF0"/>
    <w:rsid w:val="00A4238B"/>
    <w:rsid w:val="00A42765"/>
    <w:rsid w:val="00A45933"/>
    <w:rsid w:val="00A45B3F"/>
    <w:rsid w:val="00A45FA8"/>
    <w:rsid w:val="00A46D10"/>
    <w:rsid w:val="00A47044"/>
    <w:rsid w:val="00A505ED"/>
    <w:rsid w:val="00A50FFE"/>
    <w:rsid w:val="00A51805"/>
    <w:rsid w:val="00A52321"/>
    <w:rsid w:val="00A536FD"/>
    <w:rsid w:val="00A542FC"/>
    <w:rsid w:val="00A57342"/>
    <w:rsid w:val="00A600A5"/>
    <w:rsid w:val="00A621E0"/>
    <w:rsid w:val="00A63F6C"/>
    <w:rsid w:val="00A73298"/>
    <w:rsid w:val="00A7463D"/>
    <w:rsid w:val="00A7595F"/>
    <w:rsid w:val="00A775DE"/>
    <w:rsid w:val="00A77CF2"/>
    <w:rsid w:val="00A80D26"/>
    <w:rsid w:val="00A81D93"/>
    <w:rsid w:val="00A82D41"/>
    <w:rsid w:val="00A8383D"/>
    <w:rsid w:val="00A83E5C"/>
    <w:rsid w:val="00A84E38"/>
    <w:rsid w:val="00A84EF0"/>
    <w:rsid w:val="00A855C1"/>
    <w:rsid w:val="00A856B2"/>
    <w:rsid w:val="00A86019"/>
    <w:rsid w:val="00A87EA9"/>
    <w:rsid w:val="00A90057"/>
    <w:rsid w:val="00A905DE"/>
    <w:rsid w:val="00A9076C"/>
    <w:rsid w:val="00A94461"/>
    <w:rsid w:val="00A950ED"/>
    <w:rsid w:val="00A97C15"/>
    <w:rsid w:val="00AA0184"/>
    <w:rsid w:val="00AA0F7D"/>
    <w:rsid w:val="00AA1493"/>
    <w:rsid w:val="00AA1717"/>
    <w:rsid w:val="00AA3C95"/>
    <w:rsid w:val="00AA7622"/>
    <w:rsid w:val="00AB0257"/>
    <w:rsid w:val="00AB0266"/>
    <w:rsid w:val="00AB16A0"/>
    <w:rsid w:val="00AB2CDC"/>
    <w:rsid w:val="00AB3B92"/>
    <w:rsid w:val="00AB4B58"/>
    <w:rsid w:val="00AB51C3"/>
    <w:rsid w:val="00AC04FD"/>
    <w:rsid w:val="00AC0D74"/>
    <w:rsid w:val="00AC14BD"/>
    <w:rsid w:val="00AC2248"/>
    <w:rsid w:val="00AC2550"/>
    <w:rsid w:val="00AC321C"/>
    <w:rsid w:val="00AC3C2C"/>
    <w:rsid w:val="00AC4AA1"/>
    <w:rsid w:val="00AC4C52"/>
    <w:rsid w:val="00AC7732"/>
    <w:rsid w:val="00AC7D88"/>
    <w:rsid w:val="00AD1A5D"/>
    <w:rsid w:val="00AD2517"/>
    <w:rsid w:val="00AD2E51"/>
    <w:rsid w:val="00AD3498"/>
    <w:rsid w:val="00AD500C"/>
    <w:rsid w:val="00AD5F82"/>
    <w:rsid w:val="00AE0005"/>
    <w:rsid w:val="00AE226F"/>
    <w:rsid w:val="00AE269C"/>
    <w:rsid w:val="00AE2F50"/>
    <w:rsid w:val="00AE3AF9"/>
    <w:rsid w:val="00AE5DA8"/>
    <w:rsid w:val="00AE5F94"/>
    <w:rsid w:val="00AE6C6D"/>
    <w:rsid w:val="00AE7DAF"/>
    <w:rsid w:val="00AE7E81"/>
    <w:rsid w:val="00AF0718"/>
    <w:rsid w:val="00AF0CC8"/>
    <w:rsid w:val="00AF16EC"/>
    <w:rsid w:val="00AF3199"/>
    <w:rsid w:val="00AF3582"/>
    <w:rsid w:val="00AF39A9"/>
    <w:rsid w:val="00AF4A61"/>
    <w:rsid w:val="00AF5159"/>
    <w:rsid w:val="00AF5377"/>
    <w:rsid w:val="00AF64F5"/>
    <w:rsid w:val="00AF721F"/>
    <w:rsid w:val="00B00410"/>
    <w:rsid w:val="00B02895"/>
    <w:rsid w:val="00B036B0"/>
    <w:rsid w:val="00B120A1"/>
    <w:rsid w:val="00B1230C"/>
    <w:rsid w:val="00B128DD"/>
    <w:rsid w:val="00B167FA"/>
    <w:rsid w:val="00B21964"/>
    <w:rsid w:val="00B23084"/>
    <w:rsid w:val="00B24BA7"/>
    <w:rsid w:val="00B252C5"/>
    <w:rsid w:val="00B25F8D"/>
    <w:rsid w:val="00B27D77"/>
    <w:rsid w:val="00B30D4F"/>
    <w:rsid w:val="00B31630"/>
    <w:rsid w:val="00B31B05"/>
    <w:rsid w:val="00B32944"/>
    <w:rsid w:val="00B366FD"/>
    <w:rsid w:val="00B36FC5"/>
    <w:rsid w:val="00B42C0F"/>
    <w:rsid w:val="00B45306"/>
    <w:rsid w:val="00B470B1"/>
    <w:rsid w:val="00B47B18"/>
    <w:rsid w:val="00B5155B"/>
    <w:rsid w:val="00B52AE7"/>
    <w:rsid w:val="00B52C24"/>
    <w:rsid w:val="00B542D6"/>
    <w:rsid w:val="00B6022E"/>
    <w:rsid w:val="00B60702"/>
    <w:rsid w:val="00B6141B"/>
    <w:rsid w:val="00B61A63"/>
    <w:rsid w:val="00B62064"/>
    <w:rsid w:val="00B623DD"/>
    <w:rsid w:val="00B62C63"/>
    <w:rsid w:val="00B63F11"/>
    <w:rsid w:val="00B64A71"/>
    <w:rsid w:val="00B66377"/>
    <w:rsid w:val="00B66EF1"/>
    <w:rsid w:val="00B676D5"/>
    <w:rsid w:val="00B722F0"/>
    <w:rsid w:val="00B76327"/>
    <w:rsid w:val="00B76DD1"/>
    <w:rsid w:val="00B77E7B"/>
    <w:rsid w:val="00B8014F"/>
    <w:rsid w:val="00B81FF5"/>
    <w:rsid w:val="00B82435"/>
    <w:rsid w:val="00B85B18"/>
    <w:rsid w:val="00B86CFC"/>
    <w:rsid w:val="00B904C3"/>
    <w:rsid w:val="00B90701"/>
    <w:rsid w:val="00B92FC7"/>
    <w:rsid w:val="00B93FCE"/>
    <w:rsid w:val="00B966A6"/>
    <w:rsid w:val="00B96886"/>
    <w:rsid w:val="00B97107"/>
    <w:rsid w:val="00B974DF"/>
    <w:rsid w:val="00B975C1"/>
    <w:rsid w:val="00B975E8"/>
    <w:rsid w:val="00BA1ABD"/>
    <w:rsid w:val="00BA24D8"/>
    <w:rsid w:val="00BA2F44"/>
    <w:rsid w:val="00BA3860"/>
    <w:rsid w:val="00BA401D"/>
    <w:rsid w:val="00BA511B"/>
    <w:rsid w:val="00BA5EB8"/>
    <w:rsid w:val="00BA5F2A"/>
    <w:rsid w:val="00BA6861"/>
    <w:rsid w:val="00BA798A"/>
    <w:rsid w:val="00BA7B86"/>
    <w:rsid w:val="00BB0739"/>
    <w:rsid w:val="00BB0EA7"/>
    <w:rsid w:val="00BB0FC9"/>
    <w:rsid w:val="00BB2509"/>
    <w:rsid w:val="00BB39BE"/>
    <w:rsid w:val="00BB3C67"/>
    <w:rsid w:val="00BB690E"/>
    <w:rsid w:val="00BB7AD4"/>
    <w:rsid w:val="00BB7BC1"/>
    <w:rsid w:val="00BC0815"/>
    <w:rsid w:val="00BC1F2A"/>
    <w:rsid w:val="00BC3728"/>
    <w:rsid w:val="00BC3C70"/>
    <w:rsid w:val="00BC4562"/>
    <w:rsid w:val="00BD0DCB"/>
    <w:rsid w:val="00BD3BEB"/>
    <w:rsid w:val="00BD4678"/>
    <w:rsid w:val="00BD6688"/>
    <w:rsid w:val="00BD7F77"/>
    <w:rsid w:val="00BE02E8"/>
    <w:rsid w:val="00BE0A50"/>
    <w:rsid w:val="00BE1995"/>
    <w:rsid w:val="00BE1B51"/>
    <w:rsid w:val="00BE37E0"/>
    <w:rsid w:val="00BE409A"/>
    <w:rsid w:val="00BE4321"/>
    <w:rsid w:val="00BE4573"/>
    <w:rsid w:val="00BE6C84"/>
    <w:rsid w:val="00BF2A88"/>
    <w:rsid w:val="00BF2FFC"/>
    <w:rsid w:val="00BF3377"/>
    <w:rsid w:val="00BF6093"/>
    <w:rsid w:val="00BF7019"/>
    <w:rsid w:val="00BF7041"/>
    <w:rsid w:val="00BF7563"/>
    <w:rsid w:val="00C011CF"/>
    <w:rsid w:val="00C01BEB"/>
    <w:rsid w:val="00C02D1A"/>
    <w:rsid w:val="00C037DF"/>
    <w:rsid w:val="00C040E3"/>
    <w:rsid w:val="00C046C0"/>
    <w:rsid w:val="00C05DBD"/>
    <w:rsid w:val="00C068F2"/>
    <w:rsid w:val="00C06DFD"/>
    <w:rsid w:val="00C06F1F"/>
    <w:rsid w:val="00C07026"/>
    <w:rsid w:val="00C1106E"/>
    <w:rsid w:val="00C1115F"/>
    <w:rsid w:val="00C12394"/>
    <w:rsid w:val="00C127C1"/>
    <w:rsid w:val="00C134A7"/>
    <w:rsid w:val="00C13735"/>
    <w:rsid w:val="00C16939"/>
    <w:rsid w:val="00C24F5E"/>
    <w:rsid w:val="00C270CC"/>
    <w:rsid w:val="00C274DC"/>
    <w:rsid w:val="00C27727"/>
    <w:rsid w:val="00C277F9"/>
    <w:rsid w:val="00C3333D"/>
    <w:rsid w:val="00C338AC"/>
    <w:rsid w:val="00C34167"/>
    <w:rsid w:val="00C34B02"/>
    <w:rsid w:val="00C34D50"/>
    <w:rsid w:val="00C34D7C"/>
    <w:rsid w:val="00C362E6"/>
    <w:rsid w:val="00C45623"/>
    <w:rsid w:val="00C47D98"/>
    <w:rsid w:val="00C47E53"/>
    <w:rsid w:val="00C522BB"/>
    <w:rsid w:val="00C52CEE"/>
    <w:rsid w:val="00C542CD"/>
    <w:rsid w:val="00C544F6"/>
    <w:rsid w:val="00C54F11"/>
    <w:rsid w:val="00C55797"/>
    <w:rsid w:val="00C55D2A"/>
    <w:rsid w:val="00C57599"/>
    <w:rsid w:val="00C57DC1"/>
    <w:rsid w:val="00C60B23"/>
    <w:rsid w:val="00C61F94"/>
    <w:rsid w:val="00C638D5"/>
    <w:rsid w:val="00C63BCD"/>
    <w:rsid w:val="00C643D6"/>
    <w:rsid w:val="00C65864"/>
    <w:rsid w:val="00C665A4"/>
    <w:rsid w:val="00C6707D"/>
    <w:rsid w:val="00C70A8B"/>
    <w:rsid w:val="00C70C76"/>
    <w:rsid w:val="00C71CC4"/>
    <w:rsid w:val="00C72366"/>
    <w:rsid w:val="00C72930"/>
    <w:rsid w:val="00C7365E"/>
    <w:rsid w:val="00C73BC9"/>
    <w:rsid w:val="00C77609"/>
    <w:rsid w:val="00C77C7E"/>
    <w:rsid w:val="00C857B5"/>
    <w:rsid w:val="00C85855"/>
    <w:rsid w:val="00C86DA5"/>
    <w:rsid w:val="00C86DFA"/>
    <w:rsid w:val="00C875B5"/>
    <w:rsid w:val="00C87AFC"/>
    <w:rsid w:val="00C90806"/>
    <w:rsid w:val="00C92E85"/>
    <w:rsid w:val="00C9388A"/>
    <w:rsid w:val="00C94198"/>
    <w:rsid w:val="00C9443C"/>
    <w:rsid w:val="00C963BE"/>
    <w:rsid w:val="00C96C01"/>
    <w:rsid w:val="00CA4A65"/>
    <w:rsid w:val="00CA6F8F"/>
    <w:rsid w:val="00CA7363"/>
    <w:rsid w:val="00CB0854"/>
    <w:rsid w:val="00CB1AC9"/>
    <w:rsid w:val="00CB2422"/>
    <w:rsid w:val="00CB260F"/>
    <w:rsid w:val="00CB42DF"/>
    <w:rsid w:val="00CB455B"/>
    <w:rsid w:val="00CB6EBB"/>
    <w:rsid w:val="00CC16C9"/>
    <w:rsid w:val="00CC1E53"/>
    <w:rsid w:val="00CC3E90"/>
    <w:rsid w:val="00CC67CA"/>
    <w:rsid w:val="00CC706C"/>
    <w:rsid w:val="00CC79F6"/>
    <w:rsid w:val="00CD08D1"/>
    <w:rsid w:val="00CD19A6"/>
    <w:rsid w:val="00CD385C"/>
    <w:rsid w:val="00CD4967"/>
    <w:rsid w:val="00CD5000"/>
    <w:rsid w:val="00CD570E"/>
    <w:rsid w:val="00CD5B1E"/>
    <w:rsid w:val="00CD6AE1"/>
    <w:rsid w:val="00CD79DC"/>
    <w:rsid w:val="00CD7B31"/>
    <w:rsid w:val="00CD7EA0"/>
    <w:rsid w:val="00CE1C3F"/>
    <w:rsid w:val="00CE36D6"/>
    <w:rsid w:val="00CE58B4"/>
    <w:rsid w:val="00CE669A"/>
    <w:rsid w:val="00CF183C"/>
    <w:rsid w:val="00CF2E1C"/>
    <w:rsid w:val="00CF3FF3"/>
    <w:rsid w:val="00CF6465"/>
    <w:rsid w:val="00CF6C03"/>
    <w:rsid w:val="00D00E3E"/>
    <w:rsid w:val="00D01FD3"/>
    <w:rsid w:val="00D03D6A"/>
    <w:rsid w:val="00D05422"/>
    <w:rsid w:val="00D063AB"/>
    <w:rsid w:val="00D06864"/>
    <w:rsid w:val="00D06B36"/>
    <w:rsid w:val="00D103B6"/>
    <w:rsid w:val="00D11C86"/>
    <w:rsid w:val="00D12B3A"/>
    <w:rsid w:val="00D13C1C"/>
    <w:rsid w:val="00D153D6"/>
    <w:rsid w:val="00D16971"/>
    <w:rsid w:val="00D202AD"/>
    <w:rsid w:val="00D2095C"/>
    <w:rsid w:val="00D21328"/>
    <w:rsid w:val="00D21778"/>
    <w:rsid w:val="00D22136"/>
    <w:rsid w:val="00D2356F"/>
    <w:rsid w:val="00D24FE5"/>
    <w:rsid w:val="00D30604"/>
    <w:rsid w:val="00D30E85"/>
    <w:rsid w:val="00D31C1A"/>
    <w:rsid w:val="00D32D74"/>
    <w:rsid w:val="00D330E0"/>
    <w:rsid w:val="00D34F96"/>
    <w:rsid w:val="00D36ABB"/>
    <w:rsid w:val="00D377D1"/>
    <w:rsid w:val="00D37B44"/>
    <w:rsid w:val="00D41118"/>
    <w:rsid w:val="00D41189"/>
    <w:rsid w:val="00D413EC"/>
    <w:rsid w:val="00D41963"/>
    <w:rsid w:val="00D42BDE"/>
    <w:rsid w:val="00D44939"/>
    <w:rsid w:val="00D44A47"/>
    <w:rsid w:val="00D45DD7"/>
    <w:rsid w:val="00D50838"/>
    <w:rsid w:val="00D50C97"/>
    <w:rsid w:val="00D5182E"/>
    <w:rsid w:val="00D5338F"/>
    <w:rsid w:val="00D538C1"/>
    <w:rsid w:val="00D54BF0"/>
    <w:rsid w:val="00D55B08"/>
    <w:rsid w:val="00D56CE8"/>
    <w:rsid w:val="00D57216"/>
    <w:rsid w:val="00D57A53"/>
    <w:rsid w:val="00D60295"/>
    <w:rsid w:val="00D6227A"/>
    <w:rsid w:val="00D62F21"/>
    <w:rsid w:val="00D6349E"/>
    <w:rsid w:val="00D639F2"/>
    <w:rsid w:val="00D65B1B"/>
    <w:rsid w:val="00D65B37"/>
    <w:rsid w:val="00D65E2A"/>
    <w:rsid w:val="00D6653D"/>
    <w:rsid w:val="00D67104"/>
    <w:rsid w:val="00D6749B"/>
    <w:rsid w:val="00D71157"/>
    <w:rsid w:val="00D727AD"/>
    <w:rsid w:val="00D73C87"/>
    <w:rsid w:val="00D7409E"/>
    <w:rsid w:val="00D74734"/>
    <w:rsid w:val="00D774E7"/>
    <w:rsid w:val="00D8186A"/>
    <w:rsid w:val="00D82267"/>
    <w:rsid w:val="00D8236D"/>
    <w:rsid w:val="00D82E3A"/>
    <w:rsid w:val="00D872E7"/>
    <w:rsid w:val="00D904DE"/>
    <w:rsid w:val="00D90782"/>
    <w:rsid w:val="00D92F31"/>
    <w:rsid w:val="00D948BC"/>
    <w:rsid w:val="00D949CB"/>
    <w:rsid w:val="00D94AF1"/>
    <w:rsid w:val="00D94B49"/>
    <w:rsid w:val="00D95379"/>
    <w:rsid w:val="00D954C3"/>
    <w:rsid w:val="00D96FDE"/>
    <w:rsid w:val="00D9756C"/>
    <w:rsid w:val="00DA416D"/>
    <w:rsid w:val="00DA512B"/>
    <w:rsid w:val="00DA55E1"/>
    <w:rsid w:val="00DA67C9"/>
    <w:rsid w:val="00DB1308"/>
    <w:rsid w:val="00DB15CA"/>
    <w:rsid w:val="00DB180D"/>
    <w:rsid w:val="00DB27BD"/>
    <w:rsid w:val="00DB39D1"/>
    <w:rsid w:val="00DB4A2A"/>
    <w:rsid w:val="00DB5A43"/>
    <w:rsid w:val="00DB64CF"/>
    <w:rsid w:val="00DC1310"/>
    <w:rsid w:val="00DC1D92"/>
    <w:rsid w:val="00DC39A2"/>
    <w:rsid w:val="00DC3B99"/>
    <w:rsid w:val="00DC3F14"/>
    <w:rsid w:val="00DC440B"/>
    <w:rsid w:val="00DD0EEE"/>
    <w:rsid w:val="00DD191E"/>
    <w:rsid w:val="00DD28AA"/>
    <w:rsid w:val="00DD382B"/>
    <w:rsid w:val="00DD3943"/>
    <w:rsid w:val="00DD3EC7"/>
    <w:rsid w:val="00DD510A"/>
    <w:rsid w:val="00DE0F8D"/>
    <w:rsid w:val="00DE1A54"/>
    <w:rsid w:val="00DE3004"/>
    <w:rsid w:val="00DE57E0"/>
    <w:rsid w:val="00DE7B1F"/>
    <w:rsid w:val="00DF043D"/>
    <w:rsid w:val="00DF1740"/>
    <w:rsid w:val="00DF2235"/>
    <w:rsid w:val="00DF28CF"/>
    <w:rsid w:val="00DF3126"/>
    <w:rsid w:val="00DF3D76"/>
    <w:rsid w:val="00DF5C9F"/>
    <w:rsid w:val="00DF5CF3"/>
    <w:rsid w:val="00DF6911"/>
    <w:rsid w:val="00DF7451"/>
    <w:rsid w:val="00DF76E7"/>
    <w:rsid w:val="00E00DD4"/>
    <w:rsid w:val="00E01B55"/>
    <w:rsid w:val="00E01B9E"/>
    <w:rsid w:val="00E02A2E"/>
    <w:rsid w:val="00E06799"/>
    <w:rsid w:val="00E11083"/>
    <w:rsid w:val="00E132AD"/>
    <w:rsid w:val="00E14621"/>
    <w:rsid w:val="00E14D91"/>
    <w:rsid w:val="00E154E1"/>
    <w:rsid w:val="00E15AE1"/>
    <w:rsid w:val="00E17A8E"/>
    <w:rsid w:val="00E227DA"/>
    <w:rsid w:val="00E22FA2"/>
    <w:rsid w:val="00E23CBB"/>
    <w:rsid w:val="00E25420"/>
    <w:rsid w:val="00E31950"/>
    <w:rsid w:val="00E3218D"/>
    <w:rsid w:val="00E32B01"/>
    <w:rsid w:val="00E34FDF"/>
    <w:rsid w:val="00E35053"/>
    <w:rsid w:val="00E36041"/>
    <w:rsid w:val="00E37B90"/>
    <w:rsid w:val="00E416FF"/>
    <w:rsid w:val="00E41DE3"/>
    <w:rsid w:val="00E50D31"/>
    <w:rsid w:val="00E5131D"/>
    <w:rsid w:val="00E5260F"/>
    <w:rsid w:val="00E529E7"/>
    <w:rsid w:val="00E541BD"/>
    <w:rsid w:val="00E5562E"/>
    <w:rsid w:val="00E556D0"/>
    <w:rsid w:val="00E55B4F"/>
    <w:rsid w:val="00E57233"/>
    <w:rsid w:val="00E57A11"/>
    <w:rsid w:val="00E603A0"/>
    <w:rsid w:val="00E60F14"/>
    <w:rsid w:val="00E61527"/>
    <w:rsid w:val="00E630BD"/>
    <w:rsid w:val="00E64CA3"/>
    <w:rsid w:val="00E6577F"/>
    <w:rsid w:val="00E65D52"/>
    <w:rsid w:val="00E67B8A"/>
    <w:rsid w:val="00E71845"/>
    <w:rsid w:val="00E75B98"/>
    <w:rsid w:val="00E7617B"/>
    <w:rsid w:val="00E77EB6"/>
    <w:rsid w:val="00E80E4F"/>
    <w:rsid w:val="00E81C5D"/>
    <w:rsid w:val="00E85F1D"/>
    <w:rsid w:val="00E90BF7"/>
    <w:rsid w:val="00E914DF"/>
    <w:rsid w:val="00E938DC"/>
    <w:rsid w:val="00E96E61"/>
    <w:rsid w:val="00EA0EF9"/>
    <w:rsid w:val="00EA4A35"/>
    <w:rsid w:val="00EB037A"/>
    <w:rsid w:val="00EB09CC"/>
    <w:rsid w:val="00EB2075"/>
    <w:rsid w:val="00EB4A12"/>
    <w:rsid w:val="00EB5864"/>
    <w:rsid w:val="00EB696A"/>
    <w:rsid w:val="00EB76BB"/>
    <w:rsid w:val="00EB7A82"/>
    <w:rsid w:val="00EB7BDD"/>
    <w:rsid w:val="00EC0A36"/>
    <w:rsid w:val="00EC3622"/>
    <w:rsid w:val="00EC4FAB"/>
    <w:rsid w:val="00EC7A56"/>
    <w:rsid w:val="00EC7A6C"/>
    <w:rsid w:val="00ED28CB"/>
    <w:rsid w:val="00ED2ACF"/>
    <w:rsid w:val="00ED33BE"/>
    <w:rsid w:val="00ED4D35"/>
    <w:rsid w:val="00ED5655"/>
    <w:rsid w:val="00ED58AF"/>
    <w:rsid w:val="00ED77CA"/>
    <w:rsid w:val="00ED7EDB"/>
    <w:rsid w:val="00EE041E"/>
    <w:rsid w:val="00EE07F6"/>
    <w:rsid w:val="00EE0F97"/>
    <w:rsid w:val="00EE1DCB"/>
    <w:rsid w:val="00EE2193"/>
    <w:rsid w:val="00EE259D"/>
    <w:rsid w:val="00EE3716"/>
    <w:rsid w:val="00EE3CDE"/>
    <w:rsid w:val="00EE3DAC"/>
    <w:rsid w:val="00EE490E"/>
    <w:rsid w:val="00EE5106"/>
    <w:rsid w:val="00EE5BA2"/>
    <w:rsid w:val="00EE6AE5"/>
    <w:rsid w:val="00EE7F08"/>
    <w:rsid w:val="00EF0172"/>
    <w:rsid w:val="00EF1CB9"/>
    <w:rsid w:val="00EF5F4D"/>
    <w:rsid w:val="00F015CE"/>
    <w:rsid w:val="00F027BE"/>
    <w:rsid w:val="00F068AA"/>
    <w:rsid w:val="00F072CD"/>
    <w:rsid w:val="00F10BA7"/>
    <w:rsid w:val="00F11A9D"/>
    <w:rsid w:val="00F123ED"/>
    <w:rsid w:val="00F142CB"/>
    <w:rsid w:val="00F143A9"/>
    <w:rsid w:val="00F1474C"/>
    <w:rsid w:val="00F16567"/>
    <w:rsid w:val="00F17474"/>
    <w:rsid w:val="00F230F9"/>
    <w:rsid w:val="00F25628"/>
    <w:rsid w:val="00F261CA"/>
    <w:rsid w:val="00F30739"/>
    <w:rsid w:val="00F3085A"/>
    <w:rsid w:val="00F32922"/>
    <w:rsid w:val="00F32C5B"/>
    <w:rsid w:val="00F32E60"/>
    <w:rsid w:val="00F348B2"/>
    <w:rsid w:val="00F36848"/>
    <w:rsid w:val="00F36C2C"/>
    <w:rsid w:val="00F3775F"/>
    <w:rsid w:val="00F37EF1"/>
    <w:rsid w:val="00F471B4"/>
    <w:rsid w:val="00F47F84"/>
    <w:rsid w:val="00F50A80"/>
    <w:rsid w:val="00F50E2D"/>
    <w:rsid w:val="00F5187B"/>
    <w:rsid w:val="00F51C2C"/>
    <w:rsid w:val="00F52D59"/>
    <w:rsid w:val="00F53A5C"/>
    <w:rsid w:val="00F54225"/>
    <w:rsid w:val="00F54829"/>
    <w:rsid w:val="00F5716D"/>
    <w:rsid w:val="00F60DBF"/>
    <w:rsid w:val="00F631C5"/>
    <w:rsid w:val="00F6386E"/>
    <w:rsid w:val="00F64E7E"/>
    <w:rsid w:val="00F6532F"/>
    <w:rsid w:val="00F65B0D"/>
    <w:rsid w:val="00F679B4"/>
    <w:rsid w:val="00F67CE3"/>
    <w:rsid w:val="00F715CB"/>
    <w:rsid w:val="00F71681"/>
    <w:rsid w:val="00F723A7"/>
    <w:rsid w:val="00F72AB0"/>
    <w:rsid w:val="00F72E9D"/>
    <w:rsid w:val="00F7346F"/>
    <w:rsid w:val="00F73605"/>
    <w:rsid w:val="00F73B42"/>
    <w:rsid w:val="00F74B0F"/>
    <w:rsid w:val="00F74BD2"/>
    <w:rsid w:val="00F75F21"/>
    <w:rsid w:val="00F7677D"/>
    <w:rsid w:val="00F76C5D"/>
    <w:rsid w:val="00F7723A"/>
    <w:rsid w:val="00F8075F"/>
    <w:rsid w:val="00F81E7F"/>
    <w:rsid w:val="00F821D4"/>
    <w:rsid w:val="00F84B8F"/>
    <w:rsid w:val="00F86558"/>
    <w:rsid w:val="00F92B94"/>
    <w:rsid w:val="00F948F5"/>
    <w:rsid w:val="00F951FE"/>
    <w:rsid w:val="00F96EC2"/>
    <w:rsid w:val="00FA19BF"/>
    <w:rsid w:val="00FA19C2"/>
    <w:rsid w:val="00FA3FB8"/>
    <w:rsid w:val="00FA5A02"/>
    <w:rsid w:val="00FA6049"/>
    <w:rsid w:val="00FA6EC0"/>
    <w:rsid w:val="00FA7E74"/>
    <w:rsid w:val="00FB0CD2"/>
    <w:rsid w:val="00FB10B5"/>
    <w:rsid w:val="00FB2DCE"/>
    <w:rsid w:val="00FB381C"/>
    <w:rsid w:val="00FB5CA5"/>
    <w:rsid w:val="00FB680E"/>
    <w:rsid w:val="00FC0499"/>
    <w:rsid w:val="00FC1548"/>
    <w:rsid w:val="00FC2F76"/>
    <w:rsid w:val="00FC30B2"/>
    <w:rsid w:val="00FC31F4"/>
    <w:rsid w:val="00FC42D4"/>
    <w:rsid w:val="00FD026B"/>
    <w:rsid w:val="00FD20BB"/>
    <w:rsid w:val="00FD3203"/>
    <w:rsid w:val="00FD43E8"/>
    <w:rsid w:val="00FD592F"/>
    <w:rsid w:val="00FD717C"/>
    <w:rsid w:val="00FE1D54"/>
    <w:rsid w:val="00FE3DDB"/>
    <w:rsid w:val="00FE4D78"/>
    <w:rsid w:val="00FE60B9"/>
    <w:rsid w:val="00FF1475"/>
    <w:rsid w:val="00FF1C9B"/>
    <w:rsid w:val="00FF1CAB"/>
    <w:rsid w:val="00FF2137"/>
    <w:rsid w:val="00FF26CB"/>
    <w:rsid w:val="00FF2FB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9B0B"/>
  <w15:chartTrackingRefBased/>
  <w15:docId w15:val="{A924A351-5B96-4977-9121-C866240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3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nowy"/>
    <w:basedOn w:val="Standardowy"/>
    <w:uiPriority w:val="39"/>
    <w:rsid w:val="007F347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F3476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CE36D6"/>
    <w:rPr>
      <w:sz w:val="16"/>
      <w:szCs w:val="16"/>
    </w:rPr>
  </w:style>
  <w:style w:type="paragraph" w:styleId="Tekstkomentarza">
    <w:name w:val="annotation text"/>
    <w:aliases w:val="Tekst komentarza Znak Znak,Znak3 Znak Znak, Znak3 Znak Znak, Znak,Znak"/>
    <w:basedOn w:val="Normalny"/>
    <w:link w:val="TekstkomentarzaZnak"/>
    <w:uiPriority w:val="99"/>
    <w:unhideWhenUsed/>
    <w:rsid w:val="00CE36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 Znak Znak,Znak3 Znak Znak Znak, Znak3 Znak Znak Znak, Znak Znak,Znak Znak"/>
    <w:link w:val="Tekstkomentarza"/>
    <w:uiPriority w:val="99"/>
    <w:rsid w:val="00CE36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36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36D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BA38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rsid w:val="00BA3860"/>
    <w:rPr>
      <w:sz w:val="20"/>
      <w:szCs w:val="20"/>
    </w:rPr>
  </w:style>
  <w:style w:type="character" w:styleId="Odwoanieprzypisudolnego">
    <w:name w:val="footnote reference"/>
    <w:aliases w:val="Footnote Reference Number,Footnote Reference_LVL6,Footnote Reference_LVL61,Footnote Reference_LVL62,Footnote Reference_LVL63,Footnote Reference_LVL64,Footnote symbol,Footnote reference number,Times 10 Point,Exposant 3 Point,No"/>
    <w:uiPriority w:val="99"/>
    <w:unhideWhenUsed/>
    <w:rsid w:val="00BA3860"/>
    <w:rPr>
      <w:vertAlign w:val="superscript"/>
    </w:rPr>
  </w:style>
  <w:style w:type="paragraph" w:styleId="Poprawka">
    <w:name w:val="Revision"/>
    <w:hidden/>
    <w:uiPriority w:val="99"/>
    <w:semiHidden/>
    <w:rsid w:val="006D1BB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8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FB"/>
  </w:style>
  <w:style w:type="paragraph" w:styleId="Stopka">
    <w:name w:val="footer"/>
    <w:basedOn w:val="Normalny"/>
    <w:link w:val="StopkaZnak"/>
    <w:uiPriority w:val="99"/>
    <w:unhideWhenUsed/>
    <w:rsid w:val="0048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FB"/>
  </w:style>
  <w:style w:type="character" w:styleId="Hipercze">
    <w:name w:val="Hyperlink"/>
    <w:uiPriority w:val="99"/>
    <w:unhideWhenUsed/>
    <w:rsid w:val="00887451"/>
    <w:rPr>
      <w:color w:val="0000FF"/>
      <w:u w:val="single"/>
    </w:rPr>
  </w:style>
  <w:style w:type="character" w:customStyle="1" w:styleId="TekstkomentarzaZnak1">
    <w:name w:val="Tekst komentarza Znak1"/>
    <w:uiPriority w:val="99"/>
    <w:locked/>
    <w:rsid w:val="00760805"/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484575"/>
    <w:rPr>
      <w:sz w:val="22"/>
      <w:szCs w:val="22"/>
      <w:lang w:eastAsia="en-US"/>
    </w:rPr>
  </w:style>
  <w:style w:type="character" w:customStyle="1" w:styleId="NagwekZnak1">
    <w:name w:val="Nagłówek Znak1"/>
    <w:uiPriority w:val="99"/>
    <w:semiHidden/>
    <w:locked/>
    <w:rsid w:val="005465BE"/>
    <w:rPr>
      <w:rFonts w:ascii="Arial" w:hAnsi="Arial"/>
    </w:rPr>
  </w:style>
  <w:style w:type="character" w:customStyle="1" w:styleId="cf01">
    <w:name w:val="cf01"/>
    <w:basedOn w:val="Domylnaczcionkaakapitu"/>
    <w:rsid w:val="00603503"/>
    <w:rPr>
      <w:rFonts w:ascii="Segoe UI" w:hAnsi="Segoe UI" w:cs="Segoe UI" w:hint="default"/>
      <w:sz w:val="18"/>
      <w:szCs w:val="18"/>
    </w:rPr>
  </w:style>
  <w:style w:type="table" w:styleId="Tabelasiatki4akcent5">
    <w:name w:val="Grid Table 4 Accent 5"/>
    <w:basedOn w:val="Standardowy"/>
    <w:uiPriority w:val="49"/>
    <w:rsid w:val="006F3107"/>
    <w:rPr>
      <w:rFonts w:ascii="Times New Roman" w:eastAsia="Times New Roman" w:hAnsi="Times New Roman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554B97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AFA6D2"/>
      </w:tcPr>
    </w:tblStylePr>
  </w:style>
  <w:style w:type="character" w:customStyle="1" w:styleId="hgkelc">
    <w:name w:val="hgkelc"/>
    <w:basedOn w:val="Domylnaczcionkaakapitu"/>
    <w:rsid w:val="0079466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45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454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6EC2"/>
    <w:rPr>
      <w:color w:val="605E5C"/>
      <w:shd w:val="clear" w:color="auto" w:fill="E1DFDD"/>
    </w:rPr>
  </w:style>
  <w:style w:type="paragraph" w:customStyle="1" w:styleId="Default">
    <w:name w:val="Default"/>
    <w:rsid w:val="00AF515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5EE2-514B-47CD-BA9E-5557AA83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1747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Baczewski, Jacek</dc:creator>
  <cp:keywords/>
  <dc:description/>
  <cp:lastModifiedBy>Patrycja Wójcik</cp:lastModifiedBy>
  <cp:revision>19</cp:revision>
  <cp:lastPrinted>2026-06-24T11:36:00Z</cp:lastPrinted>
  <dcterms:created xsi:type="dcterms:W3CDTF">2023-11-24T19:52:00Z</dcterms:created>
  <dcterms:modified xsi:type="dcterms:W3CDTF">2026-06-24T12:29:00Z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Krzysztof.Lesniak@bgk.pl</vt:lpwstr>
  </property>
  <property fmtid="{D5CDD505-2E9C-101B-9397-08002B2CF9AE}" pid="5" name="MSIP_Label_ffd642cb-f5ac-4f9c-8f91-3377ed972e0d_SetDate">
    <vt:lpwstr>2018-11-14T11:54:27.3499546Z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2021-11-22T15:34:51Z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