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B32F" w14:textId="494EAA66" w:rsidR="005057EF" w:rsidRPr="005057EF" w:rsidRDefault="005057EF" w:rsidP="005057EF">
      <w:pPr>
        <w:spacing w:after="0" w:line="240" w:lineRule="auto"/>
        <w:ind w:right="442"/>
        <w:rPr>
          <w:rFonts w:cs="Calibri"/>
          <w:bCs/>
          <w:i/>
          <w:iCs/>
          <w:sz w:val="20"/>
          <w:szCs w:val="20"/>
        </w:rPr>
      </w:pPr>
      <w:r w:rsidRPr="005057EF">
        <w:rPr>
          <w:rFonts w:cs="Calibri"/>
          <w:bCs/>
          <w:i/>
          <w:iCs/>
          <w:sz w:val="20"/>
          <w:szCs w:val="20"/>
        </w:rPr>
        <w:t xml:space="preserve">Załącznik nr 2 do Uchwały nr </w:t>
      </w:r>
      <w:r w:rsidR="00B538CC">
        <w:rPr>
          <w:rFonts w:cs="Calibri"/>
          <w:bCs/>
          <w:i/>
          <w:iCs/>
          <w:sz w:val="20"/>
          <w:szCs w:val="20"/>
        </w:rPr>
        <w:t>34</w:t>
      </w:r>
      <w:r w:rsidRPr="005057EF">
        <w:rPr>
          <w:rFonts w:cs="Calibri"/>
          <w:bCs/>
          <w:i/>
          <w:iCs/>
          <w:sz w:val="20"/>
          <w:szCs w:val="20"/>
        </w:rPr>
        <w:t>/2026</w:t>
      </w:r>
    </w:p>
    <w:p w14:paraId="0962F7C1" w14:textId="77777777" w:rsidR="005057EF" w:rsidRPr="005057EF" w:rsidRDefault="005057EF" w:rsidP="005057EF">
      <w:pPr>
        <w:spacing w:after="0" w:line="240" w:lineRule="auto"/>
        <w:ind w:right="442"/>
        <w:rPr>
          <w:rFonts w:cs="Calibri"/>
          <w:bCs/>
          <w:i/>
          <w:iCs/>
          <w:sz w:val="20"/>
          <w:szCs w:val="20"/>
        </w:rPr>
      </w:pPr>
      <w:r w:rsidRPr="005057EF">
        <w:rPr>
          <w:rFonts w:cs="Calibri"/>
          <w:bCs/>
          <w:i/>
          <w:iCs/>
          <w:sz w:val="20"/>
          <w:szCs w:val="20"/>
        </w:rPr>
        <w:t>Rady Nadzorczej SFR Sp. z o.o.</w:t>
      </w:r>
    </w:p>
    <w:p w14:paraId="34C76D52" w14:textId="77CB7522" w:rsidR="005057EF" w:rsidRPr="005057EF" w:rsidRDefault="005057EF" w:rsidP="005057EF">
      <w:pPr>
        <w:spacing w:after="0" w:line="240" w:lineRule="auto"/>
        <w:ind w:right="442"/>
        <w:rPr>
          <w:rFonts w:cs="Calibri"/>
          <w:bCs/>
          <w:i/>
          <w:iCs/>
          <w:sz w:val="20"/>
          <w:szCs w:val="20"/>
        </w:rPr>
      </w:pPr>
      <w:r w:rsidRPr="005057EF">
        <w:rPr>
          <w:rFonts w:cs="Calibri"/>
          <w:bCs/>
          <w:i/>
          <w:iCs/>
          <w:sz w:val="20"/>
          <w:szCs w:val="20"/>
        </w:rPr>
        <w:t xml:space="preserve">z dnia </w:t>
      </w:r>
      <w:r w:rsidR="00DF294B">
        <w:rPr>
          <w:rFonts w:cs="Calibri"/>
          <w:bCs/>
          <w:i/>
          <w:iCs/>
          <w:sz w:val="20"/>
          <w:szCs w:val="20"/>
        </w:rPr>
        <w:t>5 sierpnia</w:t>
      </w:r>
      <w:r w:rsidRPr="005057EF">
        <w:rPr>
          <w:rFonts w:cs="Calibri"/>
          <w:bCs/>
          <w:i/>
          <w:iCs/>
          <w:sz w:val="20"/>
          <w:szCs w:val="20"/>
        </w:rPr>
        <w:t xml:space="preserve"> 2026 r.</w:t>
      </w:r>
    </w:p>
    <w:p w14:paraId="61B9C432" w14:textId="77777777" w:rsidR="005057EF" w:rsidRPr="005057EF" w:rsidRDefault="005057EF" w:rsidP="005057EF">
      <w:pPr>
        <w:spacing w:after="0" w:line="240" w:lineRule="auto"/>
        <w:ind w:right="442"/>
        <w:rPr>
          <w:rFonts w:cs="Calibri"/>
          <w:bCs/>
          <w:i/>
          <w:sz w:val="20"/>
          <w:szCs w:val="20"/>
        </w:rPr>
      </w:pPr>
    </w:p>
    <w:p w14:paraId="2EA89119" w14:textId="77777777" w:rsidR="005057EF" w:rsidRPr="005057EF" w:rsidRDefault="005057EF" w:rsidP="005057EF">
      <w:pPr>
        <w:spacing w:after="0" w:line="240" w:lineRule="auto"/>
        <w:ind w:right="442"/>
        <w:rPr>
          <w:rFonts w:cs="Calibri"/>
          <w:bCs/>
          <w:i/>
          <w:sz w:val="20"/>
          <w:szCs w:val="20"/>
        </w:rPr>
      </w:pPr>
      <w:r w:rsidRPr="005057EF">
        <w:rPr>
          <w:rFonts w:cs="Calibri"/>
          <w:bCs/>
          <w:i/>
          <w:sz w:val="20"/>
          <w:szCs w:val="20"/>
        </w:rPr>
        <w:t xml:space="preserve">Załącznik nr 1  do Regulaminu udzielania przez </w:t>
      </w:r>
    </w:p>
    <w:p w14:paraId="13D34B3E" w14:textId="77777777" w:rsidR="005057EF" w:rsidRPr="005057EF" w:rsidRDefault="005057EF" w:rsidP="005057EF">
      <w:pPr>
        <w:spacing w:after="0" w:line="240" w:lineRule="auto"/>
        <w:ind w:right="442"/>
        <w:rPr>
          <w:rFonts w:cs="Calibri"/>
          <w:bCs/>
          <w:i/>
          <w:sz w:val="20"/>
          <w:szCs w:val="20"/>
        </w:rPr>
      </w:pPr>
      <w:r w:rsidRPr="005057EF">
        <w:rPr>
          <w:rFonts w:cs="Calibri"/>
          <w:bCs/>
          <w:i/>
          <w:sz w:val="20"/>
          <w:szCs w:val="20"/>
        </w:rPr>
        <w:t xml:space="preserve">Świętokrzyski Fundusz Rozwoju </w:t>
      </w:r>
    </w:p>
    <w:p w14:paraId="2BFA573A" w14:textId="77777777" w:rsidR="005057EF" w:rsidRPr="005057EF" w:rsidRDefault="005057EF" w:rsidP="005057EF">
      <w:pPr>
        <w:spacing w:after="0" w:line="240" w:lineRule="auto"/>
        <w:ind w:right="442"/>
        <w:rPr>
          <w:rFonts w:cs="Calibri"/>
          <w:bCs/>
          <w:i/>
          <w:sz w:val="20"/>
          <w:szCs w:val="20"/>
        </w:rPr>
      </w:pPr>
      <w:r w:rsidRPr="005057EF">
        <w:rPr>
          <w:rFonts w:cs="Calibri"/>
          <w:bCs/>
          <w:i/>
          <w:sz w:val="20"/>
          <w:szCs w:val="20"/>
        </w:rPr>
        <w:t xml:space="preserve">Spółka z ograniczoną odpowiedzialnością Pożyczek na OZE </w:t>
      </w:r>
    </w:p>
    <w:p w14:paraId="3DF10D69" w14:textId="77777777" w:rsidR="005057EF" w:rsidRPr="005057EF" w:rsidRDefault="005057EF" w:rsidP="005057EF">
      <w:pPr>
        <w:spacing w:after="0" w:line="240" w:lineRule="auto"/>
        <w:ind w:right="442"/>
        <w:rPr>
          <w:rFonts w:cs="Calibri"/>
          <w:bCs/>
          <w:i/>
          <w:sz w:val="20"/>
          <w:szCs w:val="20"/>
        </w:rPr>
      </w:pPr>
      <w:r w:rsidRPr="005057EF">
        <w:rPr>
          <w:rFonts w:cs="Calibri"/>
          <w:bCs/>
          <w:i/>
          <w:sz w:val="20"/>
          <w:szCs w:val="20"/>
        </w:rPr>
        <w:t xml:space="preserve">w ramach Funduszu Powierniczego Województwa Świętokrzyskiego </w:t>
      </w:r>
    </w:p>
    <w:p w14:paraId="48A5E0D6" w14:textId="77777777" w:rsidR="005057EF" w:rsidRDefault="005057EF" w:rsidP="005057EF">
      <w:pPr>
        <w:pStyle w:val="Akapitzlist"/>
        <w:spacing w:before="120" w:after="120"/>
        <w:ind w:right="110"/>
        <w:contextualSpacing w:val="0"/>
        <w:jc w:val="right"/>
        <w:rPr>
          <w:rFonts w:cs="Calibri"/>
          <w:bCs/>
          <w:i/>
        </w:rPr>
      </w:pPr>
    </w:p>
    <w:p w14:paraId="1E426D6A" w14:textId="483587C1" w:rsidR="00532DE2" w:rsidRDefault="00532DE2" w:rsidP="00BF0913">
      <w:pPr>
        <w:pStyle w:val="Akapitzlist"/>
        <w:spacing w:before="120" w:after="120"/>
        <w:contextualSpacing w:val="0"/>
        <w:jc w:val="right"/>
        <w:rPr>
          <w:rFonts w:cs="Calibri"/>
          <w:bCs/>
          <w:i/>
        </w:rPr>
      </w:pPr>
      <w:r w:rsidRPr="00532DE2">
        <w:rPr>
          <w:rFonts w:cs="Calibri"/>
          <w:bCs/>
          <w:i/>
        </w:rPr>
        <w:t xml:space="preserve">Załącznik nr </w:t>
      </w:r>
      <w:r>
        <w:rPr>
          <w:rFonts w:cs="Calibri"/>
          <w:bCs/>
          <w:i/>
        </w:rPr>
        <w:t>3</w:t>
      </w:r>
      <w:r w:rsidRPr="00532DE2">
        <w:rPr>
          <w:rFonts w:cs="Calibri"/>
          <w:bCs/>
          <w:i/>
        </w:rPr>
        <w:t xml:space="preserve"> do Aneksu nr 5</w:t>
      </w:r>
    </w:p>
    <w:p w14:paraId="7DA0DF1C" w14:textId="2BCE23DC" w:rsidR="00F47F84" w:rsidRPr="00B54F04" w:rsidRDefault="00F47F84" w:rsidP="00BF0913">
      <w:pPr>
        <w:pStyle w:val="Akapitzlist"/>
        <w:spacing w:before="120" w:after="120"/>
        <w:contextualSpacing w:val="0"/>
        <w:jc w:val="right"/>
        <w:rPr>
          <w:rFonts w:cs="Calibri"/>
          <w:i/>
        </w:rPr>
      </w:pPr>
      <w:r w:rsidRPr="00B54F04">
        <w:rPr>
          <w:rFonts w:cs="Calibri"/>
          <w:i/>
        </w:rPr>
        <w:t xml:space="preserve">Załącznik nr </w:t>
      </w:r>
      <w:r w:rsidR="007D1990">
        <w:rPr>
          <w:rFonts w:cs="Calibri"/>
          <w:i/>
        </w:rPr>
        <w:t>9</w:t>
      </w:r>
    </w:p>
    <w:p w14:paraId="7C545CE9" w14:textId="7081A983" w:rsidR="00F47F84" w:rsidRPr="00B54F04" w:rsidRDefault="00F47F84" w:rsidP="00BF0913">
      <w:pPr>
        <w:pStyle w:val="Akapitzlist"/>
        <w:spacing w:before="120" w:after="120"/>
        <w:contextualSpacing w:val="0"/>
        <w:jc w:val="right"/>
        <w:rPr>
          <w:rFonts w:cs="Calibri"/>
          <w:i/>
        </w:rPr>
      </w:pPr>
      <w:r w:rsidRPr="00B54F04">
        <w:rPr>
          <w:rFonts w:cs="Calibri"/>
          <w:i/>
        </w:rPr>
        <w:t>do Umowy Operacyjnej</w:t>
      </w:r>
      <w:r w:rsidR="007D1990" w:rsidRPr="007D1990">
        <w:rPr>
          <w:rFonts w:eastAsia="Times New Roman" w:cs="Calibri"/>
          <w:bCs/>
          <w:lang w:eastAsia="pl-PL"/>
        </w:rPr>
        <w:t xml:space="preserve"> </w:t>
      </w:r>
      <w:r w:rsidR="007D1990" w:rsidRPr="007D1990">
        <w:rPr>
          <w:rFonts w:cs="Calibri"/>
          <w:bCs/>
          <w:i/>
        </w:rPr>
        <w:t xml:space="preserve">Nr </w:t>
      </w:r>
      <w:r w:rsidR="007D1990" w:rsidRPr="007D1990">
        <w:rPr>
          <w:rFonts w:cs="Calibri"/>
          <w:i/>
        </w:rPr>
        <w:t>2/FESW/7624/2025/I/EFRR/17</w:t>
      </w:r>
      <w:r w:rsidR="009175C7">
        <w:rPr>
          <w:rFonts w:cs="Calibri"/>
          <w:i/>
        </w:rPr>
        <w:t>2</w:t>
      </w:r>
      <w:r w:rsidRPr="00B54F04">
        <w:rPr>
          <w:rFonts w:cs="Calibri"/>
          <w:i/>
        </w:rPr>
        <w:t xml:space="preserve"> – </w:t>
      </w:r>
      <w:r w:rsidR="00115EEB" w:rsidRPr="00B54F04">
        <w:rPr>
          <w:rFonts w:cs="Calibri"/>
          <w:i/>
        </w:rPr>
        <w:t>Pożyczka</w:t>
      </w:r>
      <w:r w:rsidR="00740BD9" w:rsidRPr="00B54F04">
        <w:rPr>
          <w:rFonts w:cs="Calibri"/>
          <w:i/>
        </w:rPr>
        <w:t xml:space="preserve"> </w:t>
      </w:r>
      <w:bookmarkStart w:id="0" w:name="_Hlk161753808"/>
      <w:r w:rsidR="00740BD9" w:rsidRPr="00B54F04">
        <w:rPr>
          <w:rFonts w:cs="Calibri"/>
          <w:i/>
        </w:rPr>
        <w:t xml:space="preserve">na </w:t>
      </w:r>
      <w:r w:rsidR="00FD3672" w:rsidRPr="00B54F04">
        <w:rPr>
          <w:rFonts w:cs="Calibri"/>
          <w:i/>
        </w:rPr>
        <w:t xml:space="preserve">OZE </w:t>
      </w:r>
      <w:bookmarkEnd w:id="0"/>
    </w:p>
    <w:p w14:paraId="0A37501D" w14:textId="77777777" w:rsidR="0004528D" w:rsidRPr="00B54F04" w:rsidRDefault="0004528D" w:rsidP="00BF0913">
      <w:pPr>
        <w:pStyle w:val="Akapitzlist"/>
        <w:spacing w:before="120" w:after="120"/>
        <w:contextualSpacing w:val="0"/>
        <w:jc w:val="both"/>
        <w:rPr>
          <w:rFonts w:cs="Calibri"/>
          <w:b/>
        </w:rPr>
      </w:pPr>
    </w:p>
    <w:p w14:paraId="62641713" w14:textId="46EB22B0" w:rsidR="00B57313" w:rsidRDefault="00B57313" w:rsidP="00031A06">
      <w:pPr>
        <w:pStyle w:val="Tytu"/>
        <w:jc w:val="center"/>
        <w:rPr>
          <w:spacing w:val="0"/>
          <w:kern w:val="0"/>
          <w:sz w:val="32"/>
          <w:szCs w:val="32"/>
        </w:rPr>
      </w:pPr>
      <w:bookmarkStart w:id="1" w:name="_Hlk147004065"/>
      <w:r>
        <w:rPr>
          <w:spacing w:val="0"/>
          <w:kern w:val="0"/>
          <w:sz w:val="32"/>
          <w:szCs w:val="32"/>
        </w:rPr>
        <w:t>Karta Produktu</w:t>
      </w:r>
    </w:p>
    <w:bookmarkEnd w:id="1"/>
    <w:p w14:paraId="238E68CA" w14:textId="1144BA4D" w:rsidR="00C52A19" w:rsidRPr="00B54F04" w:rsidRDefault="00740BD9" w:rsidP="00031A06">
      <w:pPr>
        <w:pStyle w:val="Tytu"/>
        <w:jc w:val="center"/>
        <w:rPr>
          <w:spacing w:val="0"/>
          <w:kern w:val="0"/>
          <w:sz w:val="32"/>
          <w:szCs w:val="32"/>
        </w:rPr>
      </w:pPr>
      <w:r w:rsidRPr="00B54F04">
        <w:rPr>
          <w:spacing w:val="0"/>
          <w:kern w:val="0"/>
          <w:sz w:val="32"/>
          <w:szCs w:val="32"/>
        </w:rPr>
        <w:t xml:space="preserve">Pożyczka na </w:t>
      </w:r>
      <w:r w:rsidR="004F1DD7" w:rsidRPr="00B54F04">
        <w:rPr>
          <w:spacing w:val="0"/>
          <w:kern w:val="0"/>
          <w:sz w:val="32"/>
          <w:szCs w:val="32"/>
        </w:rPr>
        <w:t xml:space="preserve">OZE </w:t>
      </w:r>
    </w:p>
    <w:p w14:paraId="78118383" w14:textId="77777777" w:rsidR="00BF0913" w:rsidRPr="00B54F04" w:rsidRDefault="00BF0913" w:rsidP="00BF0913"/>
    <w:p w14:paraId="4DF63760" w14:textId="00C670E5" w:rsidR="00306DAB" w:rsidRPr="00B54F04" w:rsidRDefault="00B57313" w:rsidP="00264310">
      <w:pPr>
        <w:pStyle w:val="Nagwek1"/>
        <w:spacing w:after="240"/>
        <w:jc w:val="both"/>
        <w:rPr>
          <w:color w:val="auto"/>
        </w:rPr>
      </w:pPr>
      <w:r>
        <w:rPr>
          <w:color w:val="auto"/>
        </w:rPr>
        <w:t xml:space="preserve">Część </w:t>
      </w:r>
      <w:r w:rsidR="00306DAB" w:rsidRPr="00B54F04">
        <w:rPr>
          <w:color w:val="auto"/>
        </w:rPr>
        <w:t xml:space="preserve">I Podstawowe parametry Jednostkowej Pożyczki </w:t>
      </w:r>
    </w:p>
    <w:p w14:paraId="39B4FBAF" w14:textId="610EB9E3" w:rsidR="008E4B57" w:rsidRPr="00B54F04" w:rsidRDefault="008E4B57" w:rsidP="00CF7820">
      <w:pPr>
        <w:pStyle w:val="Akapitzlist"/>
        <w:numPr>
          <w:ilvl w:val="0"/>
          <w:numId w:val="8"/>
        </w:numPr>
        <w:spacing w:before="120" w:after="120"/>
        <w:ind w:left="284" w:hanging="284"/>
        <w:contextualSpacing w:val="0"/>
        <w:rPr>
          <w:rFonts w:asciiTheme="minorHAnsi" w:hAnsiTheme="minorHAnsi" w:cstheme="minorHAnsi"/>
          <w:lang w:eastAsia="pl-PL"/>
        </w:rPr>
      </w:pPr>
      <w:r w:rsidRPr="00B54F04">
        <w:rPr>
          <w:rFonts w:asciiTheme="minorHAnsi" w:hAnsiTheme="minorHAnsi" w:cstheme="minorHAnsi"/>
          <w:lang w:eastAsia="pl-PL"/>
        </w:rPr>
        <w:t xml:space="preserve">Wartość Jednostkowej Pożyczki wynosi do </w:t>
      </w:r>
      <w:r w:rsidR="00503E80">
        <w:rPr>
          <w:rFonts w:asciiTheme="minorHAnsi" w:hAnsiTheme="minorHAnsi" w:cstheme="minorHAnsi"/>
          <w:lang w:eastAsia="pl-PL"/>
        </w:rPr>
        <w:t>5</w:t>
      </w:r>
      <w:r w:rsidR="00325366" w:rsidRPr="00B54F04">
        <w:rPr>
          <w:rFonts w:asciiTheme="minorHAnsi" w:hAnsiTheme="minorHAnsi" w:cstheme="minorHAnsi"/>
          <w:lang w:eastAsia="pl-PL"/>
        </w:rPr>
        <w:t xml:space="preserve"> mln</w:t>
      </w:r>
      <w:r w:rsidR="00B23FAF" w:rsidRPr="00B54F04">
        <w:rPr>
          <w:rFonts w:asciiTheme="minorHAnsi" w:hAnsiTheme="minorHAnsi" w:cstheme="minorHAnsi"/>
        </w:rPr>
        <w:t xml:space="preserve"> zł</w:t>
      </w:r>
      <w:r w:rsidR="00610139">
        <w:rPr>
          <w:rFonts w:asciiTheme="minorHAnsi" w:hAnsiTheme="minorHAnsi" w:cstheme="minorHAnsi"/>
          <w:lang w:eastAsia="pl-PL"/>
        </w:rPr>
        <w:t>.</w:t>
      </w:r>
    </w:p>
    <w:p w14:paraId="6F284E06" w14:textId="3FD1B899" w:rsidR="008E4B57" w:rsidRPr="00B54F04" w:rsidRDefault="008E4B57" w:rsidP="00CF7820">
      <w:pPr>
        <w:pStyle w:val="Akapitzlist"/>
        <w:numPr>
          <w:ilvl w:val="0"/>
          <w:numId w:val="8"/>
        </w:numPr>
        <w:spacing w:before="120" w:after="120"/>
        <w:ind w:left="284" w:hanging="284"/>
        <w:contextualSpacing w:val="0"/>
        <w:rPr>
          <w:rFonts w:asciiTheme="minorHAnsi" w:hAnsiTheme="minorHAnsi" w:cstheme="minorHAnsi"/>
          <w:lang w:eastAsia="pl-PL"/>
        </w:rPr>
      </w:pPr>
      <w:r w:rsidRPr="00B54F04">
        <w:rPr>
          <w:rFonts w:asciiTheme="minorHAnsi" w:hAnsiTheme="minorHAnsi" w:cstheme="minorHAnsi"/>
          <w:lang w:eastAsia="pl-PL"/>
        </w:rPr>
        <w:t xml:space="preserve">Łączna wartość Jednostkowych Pożyczek udzielonych jednemu Ostatecznemu Odbiorcy nie może przekraczać </w:t>
      </w:r>
      <w:r w:rsidR="006000AE" w:rsidRPr="00B54F04">
        <w:rPr>
          <w:rFonts w:asciiTheme="minorHAnsi" w:hAnsiTheme="minorHAnsi" w:cstheme="minorHAnsi"/>
          <w:lang w:eastAsia="pl-PL"/>
        </w:rPr>
        <w:t>10</w:t>
      </w:r>
      <w:r w:rsidR="00325366" w:rsidRPr="00B54F04">
        <w:rPr>
          <w:rFonts w:asciiTheme="minorHAnsi" w:hAnsiTheme="minorHAnsi" w:cstheme="minorHAnsi"/>
          <w:lang w:eastAsia="pl-PL"/>
        </w:rPr>
        <w:t xml:space="preserve"> mln</w:t>
      </w:r>
      <w:r w:rsidR="00B23FAF" w:rsidRPr="00B54F04">
        <w:rPr>
          <w:rFonts w:asciiTheme="minorHAnsi" w:hAnsiTheme="minorHAnsi" w:cstheme="minorHAnsi"/>
          <w:lang w:eastAsia="pl-PL"/>
        </w:rPr>
        <w:t xml:space="preserve"> zł</w:t>
      </w:r>
      <w:r w:rsidRPr="00B54F04">
        <w:rPr>
          <w:rFonts w:asciiTheme="minorHAnsi" w:hAnsiTheme="minorHAnsi" w:cstheme="minorHAnsi"/>
          <w:lang w:eastAsia="pl-PL"/>
        </w:rPr>
        <w:t xml:space="preserve">. </w:t>
      </w:r>
    </w:p>
    <w:p w14:paraId="76D6DD31" w14:textId="66306612" w:rsidR="008E4B57" w:rsidRPr="00B54F04" w:rsidRDefault="00E877C0" w:rsidP="00CF7820">
      <w:pPr>
        <w:pStyle w:val="Akapitzlist"/>
        <w:numPr>
          <w:ilvl w:val="0"/>
          <w:numId w:val="8"/>
        </w:numPr>
        <w:spacing w:before="120" w:after="120"/>
        <w:ind w:left="284" w:hanging="284"/>
        <w:contextualSpacing w:val="0"/>
        <w:rPr>
          <w:rFonts w:asciiTheme="minorHAnsi" w:hAnsiTheme="minorHAnsi" w:cstheme="minorHAnsi"/>
          <w:lang w:eastAsia="pl-PL"/>
        </w:rPr>
      </w:pPr>
      <w:r w:rsidRPr="00B54F04">
        <w:rPr>
          <w:rFonts w:asciiTheme="minorHAnsi" w:hAnsiTheme="minorHAnsi" w:cstheme="minorHAnsi"/>
        </w:rPr>
        <w:t>M</w:t>
      </w:r>
      <w:r w:rsidR="008E4B57" w:rsidRPr="00B54F04">
        <w:rPr>
          <w:rFonts w:asciiTheme="minorHAnsi" w:hAnsiTheme="minorHAnsi" w:cstheme="minorHAnsi"/>
          <w:lang w:eastAsia="pl-PL"/>
        </w:rPr>
        <w:t xml:space="preserve">aksymalny okres spłaty Jednostkowej Pożyczki określony w Umowie Inwestycyjnej nie może być dłuższy niż </w:t>
      </w:r>
      <w:r w:rsidR="003B4BA9" w:rsidRPr="00B54F04">
        <w:rPr>
          <w:rFonts w:asciiTheme="minorHAnsi" w:hAnsiTheme="minorHAnsi" w:cstheme="minorHAnsi"/>
          <w:lang w:eastAsia="pl-PL"/>
        </w:rPr>
        <w:t>84</w:t>
      </w:r>
      <w:r w:rsidR="008E4B57" w:rsidRPr="00B54F04">
        <w:rPr>
          <w:rFonts w:asciiTheme="minorHAnsi" w:hAnsiTheme="minorHAnsi" w:cstheme="minorHAnsi"/>
          <w:lang w:eastAsia="pl-PL"/>
        </w:rPr>
        <w:t xml:space="preserve"> miesi</w:t>
      </w:r>
      <w:r w:rsidR="003B4BA9" w:rsidRPr="00B54F04">
        <w:rPr>
          <w:rFonts w:asciiTheme="minorHAnsi" w:hAnsiTheme="minorHAnsi" w:cstheme="minorHAnsi"/>
          <w:lang w:eastAsia="pl-PL"/>
        </w:rPr>
        <w:t>ące</w:t>
      </w:r>
      <w:r w:rsidR="008E4B57" w:rsidRPr="00B54F04">
        <w:rPr>
          <w:rFonts w:asciiTheme="minorHAnsi" w:hAnsiTheme="minorHAnsi" w:cstheme="minorHAnsi"/>
          <w:lang w:eastAsia="pl-PL"/>
        </w:rPr>
        <w:t xml:space="preserve"> od momentu jej uruchomienia, tj. wypłaty jakiejkolwiek kwoty Jednostkowej Pożyczki. Partner Finansujący ustala okres spłaty na podstawie oceny </w:t>
      </w:r>
      <w:r w:rsidR="00D24897" w:rsidRPr="00B54F04">
        <w:rPr>
          <w:rFonts w:asciiTheme="minorHAnsi" w:hAnsiTheme="minorHAnsi" w:cstheme="minorHAnsi"/>
          <w:lang w:eastAsia="pl-PL"/>
        </w:rPr>
        <w:t>w</w:t>
      </w:r>
      <w:r w:rsidR="00937245" w:rsidRPr="00B54F04">
        <w:rPr>
          <w:rFonts w:asciiTheme="minorHAnsi" w:hAnsiTheme="minorHAnsi" w:cstheme="minorHAnsi"/>
          <w:lang w:eastAsia="pl-PL"/>
        </w:rPr>
        <w:t>niosku</w:t>
      </w:r>
      <w:r w:rsidR="00D24897" w:rsidRPr="00B54F04">
        <w:rPr>
          <w:rFonts w:asciiTheme="minorHAnsi" w:hAnsiTheme="minorHAnsi" w:cstheme="minorHAnsi"/>
          <w:lang w:eastAsia="pl-PL"/>
        </w:rPr>
        <w:t xml:space="preserve"> o pożyczkę (Wniosek)</w:t>
      </w:r>
      <w:r w:rsidR="008E4B57" w:rsidRPr="00B54F04">
        <w:rPr>
          <w:rFonts w:asciiTheme="minorHAnsi" w:hAnsiTheme="minorHAnsi" w:cstheme="minorHAnsi"/>
          <w:lang w:eastAsia="pl-PL"/>
        </w:rPr>
        <w:t xml:space="preserve">, w tym zdolności kredytowej Ostatecznego Odbiorcy i oceny ryzyka. </w:t>
      </w:r>
    </w:p>
    <w:p w14:paraId="2BF085BB" w14:textId="44C5457B" w:rsidR="008E4B57" w:rsidRPr="00B54F04" w:rsidRDefault="007B483F" w:rsidP="00CF7820">
      <w:pPr>
        <w:pStyle w:val="Akapitzlist"/>
        <w:numPr>
          <w:ilvl w:val="0"/>
          <w:numId w:val="8"/>
        </w:numPr>
        <w:spacing w:before="120" w:after="120"/>
        <w:ind w:left="284" w:hanging="284"/>
        <w:contextualSpacing w:val="0"/>
        <w:rPr>
          <w:rFonts w:asciiTheme="minorHAnsi" w:hAnsiTheme="minorHAnsi" w:cstheme="minorHAnsi"/>
        </w:rPr>
      </w:pPr>
      <w:r w:rsidRPr="00B54F04">
        <w:rPr>
          <w:rFonts w:asciiTheme="minorHAnsi" w:hAnsiTheme="minorHAnsi" w:cstheme="minorHAnsi"/>
        </w:rPr>
        <w:t xml:space="preserve">Partner Finansujący na wniosek Ostatecznego Odbiorcy może udzielić karencji w spłacie kapitału Jednostkowej Pożyczki </w:t>
      </w:r>
      <w:r w:rsidR="000A507C" w:rsidRPr="00B54F04">
        <w:rPr>
          <w:rFonts w:asciiTheme="minorHAnsi" w:hAnsiTheme="minorHAnsi" w:cstheme="minorHAnsi"/>
        </w:rPr>
        <w:t>co do zasady na czas realizacji Inwestycji Końcowej, nie dłużej jednak niż na</w:t>
      </w:r>
      <w:r w:rsidR="00956099" w:rsidRPr="00B54F04">
        <w:rPr>
          <w:rFonts w:asciiTheme="minorHAnsi" w:hAnsiTheme="minorHAnsi" w:cstheme="minorHAnsi"/>
        </w:rPr>
        <w:t xml:space="preserve"> </w:t>
      </w:r>
      <w:r w:rsidR="00BC03FA" w:rsidRPr="00B54F04">
        <w:rPr>
          <w:rFonts w:asciiTheme="minorHAnsi" w:hAnsiTheme="minorHAnsi" w:cstheme="minorHAnsi"/>
        </w:rPr>
        <w:t>12</w:t>
      </w:r>
      <w:r w:rsidR="0014482E" w:rsidRPr="00B54F04">
        <w:rPr>
          <w:rFonts w:asciiTheme="minorHAnsi" w:hAnsiTheme="minorHAnsi" w:cstheme="minorHAnsi"/>
        </w:rPr>
        <w:t xml:space="preserve"> </w:t>
      </w:r>
      <w:r w:rsidRPr="00B54F04">
        <w:rPr>
          <w:rFonts w:asciiTheme="minorHAnsi" w:hAnsiTheme="minorHAnsi" w:cstheme="minorHAnsi"/>
        </w:rPr>
        <w:t>miesięcy od dnia uruchomienia Jednostkowej Pożyczki</w:t>
      </w:r>
      <w:r w:rsidR="000A507C" w:rsidRPr="00B54F04">
        <w:rPr>
          <w:rFonts w:asciiTheme="minorHAnsi" w:hAnsiTheme="minorHAnsi" w:cstheme="minorHAnsi"/>
        </w:rPr>
        <w:t>, przy czym k</w:t>
      </w:r>
      <w:r w:rsidRPr="00B54F04">
        <w:rPr>
          <w:rFonts w:asciiTheme="minorHAnsi" w:hAnsiTheme="minorHAnsi" w:cstheme="minorHAnsi"/>
        </w:rPr>
        <w:t xml:space="preserve">arencja nie wydłuża </w:t>
      </w:r>
      <w:r w:rsidR="00353863" w:rsidRPr="00B54F04">
        <w:rPr>
          <w:rFonts w:asciiTheme="minorHAnsi" w:hAnsiTheme="minorHAnsi" w:cstheme="minorHAnsi"/>
        </w:rPr>
        <w:t xml:space="preserve">przyjętego zgodnie z pkt </w:t>
      </w:r>
      <w:r w:rsidR="009456FE">
        <w:rPr>
          <w:rFonts w:asciiTheme="minorHAnsi" w:hAnsiTheme="minorHAnsi" w:cstheme="minorHAnsi"/>
        </w:rPr>
        <w:t>3</w:t>
      </w:r>
      <w:r w:rsidR="009456FE" w:rsidRPr="00B54F04">
        <w:rPr>
          <w:rFonts w:asciiTheme="minorHAnsi" w:hAnsiTheme="minorHAnsi" w:cstheme="minorHAnsi"/>
        </w:rPr>
        <w:t xml:space="preserve"> </w:t>
      </w:r>
      <w:r w:rsidRPr="00B54F04">
        <w:rPr>
          <w:rFonts w:asciiTheme="minorHAnsi" w:hAnsiTheme="minorHAnsi" w:cstheme="minorHAnsi"/>
        </w:rPr>
        <w:t xml:space="preserve">okresu spłaty. </w:t>
      </w:r>
      <w:r w:rsidR="008E4B57" w:rsidRPr="00B54F04">
        <w:rPr>
          <w:rFonts w:asciiTheme="minorHAnsi" w:hAnsiTheme="minorHAnsi" w:cstheme="minorHAnsi"/>
        </w:rPr>
        <w:t>Decyzję w tym zakresie podejmuje Partner Finansujący w oparciu o wyniki oceny zdolności kredytowej i ryzyka.</w:t>
      </w:r>
    </w:p>
    <w:p w14:paraId="6AAF0610" w14:textId="77777777" w:rsidR="003A6C1E" w:rsidRPr="00B54F04" w:rsidRDefault="003A6C1E" w:rsidP="00CF7820">
      <w:pPr>
        <w:pStyle w:val="Akapitzlist"/>
        <w:numPr>
          <w:ilvl w:val="0"/>
          <w:numId w:val="8"/>
        </w:numPr>
        <w:spacing w:before="120" w:after="120"/>
        <w:ind w:left="284" w:hanging="284"/>
        <w:contextualSpacing w:val="0"/>
        <w:rPr>
          <w:rFonts w:asciiTheme="minorHAnsi" w:hAnsiTheme="minorHAnsi" w:cstheme="minorHAnsi"/>
        </w:rPr>
      </w:pPr>
      <w:r w:rsidRPr="00B54F04">
        <w:rPr>
          <w:rFonts w:asciiTheme="minorHAnsi" w:hAnsiTheme="minorHAnsi" w:cstheme="minorHAnsi"/>
        </w:rPr>
        <w:t>Oprocentowanie Jednostkowej Pożyczki na warunkach korzystniejszych niż rynkowe jest stałe w całym okresie jej obowiązywania i wynosi 0% w skali roku.</w:t>
      </w:r>
    </w:p>
    <w:p w14:paraId="01D8A621" w14:textId="5F075985" w:rsidR="0024642B" w:rsidRPr="00B54F04" w:rsidRDefault="0024642B" w:rsidP="00264310">
      <w:pPr>
        <w:pStyle w:val="Nagwek1"/>
        <w:spacing w:after="240"/>
        <w:jc w:val="both"/>
        <w:rPr>
          <w:color w:val="auto"/>
        </w:rPr>
      </w:pPr>
      <w:r w:rsidRPr="00B54F04">
        <w:rPr>
          <w:color w:val="auto"/>
        </w:rPr>
        <w:t>Część II Preferencje przy udzielaniu Jednostkowych Pożyczek</w:t>
      </w:r>
    </w:p>
    <w:p w14:paraId="4137A9AF" w14:textId="669DCC39" w:rsidR="00923137" w:rsidRPr="00B54F04" w:rsidRDefault="00FB14EF" w:rsidP="00CF7820">
      <w:pPr>
        <w:pStyle w:val="Akapitzlist"/>
        <w:numPr>
          <w:ilvl w:val="0"/>
          <w:numId w:val="26"/>
        </w:numPr>
        <w:spacing w:before="120" w:after="120"/>
        <w:ind w:left="284"/>
        <w:contextualSpacing w:val="0"/>
        <w:rPr>
          <w:rFonts w:asciiTheme="minorHAnsi" w:hAnsiTheme="minorHAnsi" w:cstheme="minorHAnsi"/>
        </w:rPr>
      </w:pPr>
      <w:bookmarkStart w:id="2" w:name="_Hlk169527653"/>
      <w:r w:rsidRPr="00B54F04">
        <w:rPr>
          <w:rFonts w:asciiTheme="minorHAnsi" w:hAnsiTheme="minorHAnsi" w:cstheme="minorHAnsi"/>
        </w:rPr>
        <w:t xml:space="preserve">W przypadku budowy </w:t>
      </w:r>
      <w:bookmarkEnd w:id="2"/>
      <w:r w:rsidRPr="00B54F04">
        <w:rPr>
          <w:rFonts w:asciiTheme="minorHAnsi" w:hAnsiTheme="minorHAnsi" w:cstheme="minorHAnsi"/>
        </w:rPr>
        <w:t>i rozbudowy instalacji do produkcji energii elektrycznej i/lub cieplnej na własne potrzeby Ostatecznego Odbiorcy p</w:t>
      </w:r>
      <w:r w:rsidR="00CF1F9F" w:rsidRPr="00B54F04">
        <w:rPr>
          <w:rFonts w:asciiTheme="minorHAnsi" w:hAnsiTheme="minorHAnsi" w:cstheme="minorHAnsi"/>
        </w:rPr>
        <w:t xml:space="preserve">rzewidziana jest </w:t>
      </w:r>
      <w:r w:rsidR="00BE3229">
        <w:rPr>
          <w:rFonts w:asciiTheme="minorHAnsi" w:hAnsiTheme="minorHAnsi" w:cstheme="minorHAnsi"/>
        </w:rPr>
        <w:t>D</w:t>
      </w:r>
      <w:r w:rsidR="00CF1F9F" w:rsidRPr="00B54F04">
        <w:rPr>
          <w:rFonts w:asciiTheme="minorHAnsi" w:hAnsiTheme="minorHAnsi" w:cstheme="minorHAnsi"/>
        </w:rPr>
        <w:t xml:space="preserve">otacja </w:t>
      </w:r>
      <w:r w:rsidR="008C2630">
        <w:rPr>
          <w:rFonts w:asciiTheme="minorHAnsi" w:hAnsiTheme="minorHAnsi" w:cstheme="minorHAnsi"/>
        </w:rPr>
        <w:t>na spłatę</w:t>
      </w:r>
      <w:r w:rsidR="00BE3229">
        <w:rPr>
          <w:rFonts w:asciiTheme="minorHAnsi" w:hAnsiTheme="minorHAnsi" w:cstheme="minorHAnsi"/>
        </w:rPr>
        <w:t xml:space="preserve"> </w:t>
      </w:r>
      <w:r w:rsidR="00A16A1F" w:rsidRPr="00B54F04">
        <w:rPr>
          <w:rFonts w:asciiTheme="minorHAnsi" w:hAnsiTheme="minorHAnsi" w:cstheme="minorHAnsi"/>
        </w:rPr>
        <w:t xml:space="preserve">części </w:t>
      </w:r>
      <w:r w:rsidR="00CF1F9F" w:rsidRPr="00B54F04">
        <w:rPr>
          <w:rFonts w:asciiTheme="minorHAnsi" w:hAnsiTheme="minorHAnsi" w:cstheme="minorHAnsi"/>
        </w:rPr>
        <w:t>kapitału Jednostkowej Pożyczki</w:t>
      </w:r>
      <w:r w:rsidR="00956099" w:rsidRPr="00B54F04">
        <w:rPr>
          <w:rFonts w:asciiTheme="minorHAnsi" w:hAnsiTheme="minorHAnsi" w:cstheme="minorHAnsi"/>
        </w:rPr>
        <w:t xml:space="preserve"> </w:t>
      </w:r>
      <w:r w:rsidR="00BE3229" w:rsidRPr="00BE3229">
        <w:rPr>
          <w:rFonts w:asciiTheme="minorHAnsi" w:hAnsiTheme="minorHAnsi" w:cstheme="minorHAnsi"/>
        </w:rPr>
        <w:t xml:space="preserve">pozostającego do spłaty </w:t>
      </w:r>
      <w:r w:rsidR="00CF1F9F" w:rsidRPr="00B54F04">
        <w:rPr>
          <w:rFonts w:asciiTheme="minorHAnsi" w:hAnsiTheme="minorHAnsi" w:cstheme="minorHAnsi"/>
        </w:rPr>
        <w:t>(</w:t>
      </w:r>
      <w:r w:rsidR="000C2266">
        <w:rPr>
          <w:rFonts w:asciiTheme="minorHAnsi" w:hAnsiTheme="minorHAnsi" w:cstheme="minorHAnsi"/>
        </w:rPr>
        <w:t>dalej: „Dotacja”</w:t>
      </w:r>
      <w:r w:rsidR="00CF1F9F" w:rsidRPr="00B54F04">
        <w:rPr>
          <w:rFonts w:asciiTheme="minorHAnsi" w:hAnsiTheme="minorHAnsi" w:cstheme="minorHAnsi"/>
        </w:rPr>
        <w:t xml:space="preserve">) w </w:t>
      </w:r>
      <w:r w:rsidR="008E2E09" w:rsidRPr="00B54F04">
        <w:rPr>
          <w:rFonts w:asciiTheme="minorHAnsi" w:hAnsiTheme="minorHAnsi" w:cstheme="minorHAnsi"/>
        </w:rPr>
        <w:t>wysokości</w:t>
      </w:r>
      <w:r w:rsidR="00CF1F9F" w:rsidRPr="00B54F04">
        <w:rPr>
          <w:rFonts w:asciiTheme="minorHAnsi" w:hAnsiTheme="minorHAnsi" w:cstheme="minorHAnsi"/>
        </w:rPr>
        <w:t xml:space="preserve"> </w:t>
      </w:r>
      <w:r w:rsidR="003E3299" w:rsidRPr="00B54F04">
        <w:rPr>
          <w:rFonts w:asciiTheme="minorHAnsi" w:hAnsiTheme="minorHAnsi" w:cstheme="minorHAnsi"/>
        </w:rPr>
        <w:t>20</w:t>
      </w:r>
      <w:r w:rsidR="00CF1F9F" w:rsidRPr="00B54F04">
        <w:rPr>
          <w:rFonts w:asciiTheme="minorHAnsi" w:hAnsiTheme="minorHAnsi" w:cstheme="minorHAnsi"/>
        </w:rPr>
        <w:t xml:space="preserve">% </w:t>
      </w:r>
      <w:r w:rsidR="00EF31C7" w:rsidRPr="00B54F04">
        <w:rPr>
          <w:rFonts w:asciiTheme="minorHAnsi" w:hAnsiTheme="minorHAnsi" w:cstheme="minorHAnsi"/>
        </w:rPr>
        <w:t xml:space="preserve">kapitału </w:t>
      </w:r>
      <w:r w:rsidR="00E35807" w:rsidRPr="00B54F04">
        <w:rPr>
          <w:rFonts w:asciiTheme="minorHAnsi" w:hAnsiTheme="minorHAnsi" w:cstheme="minorHAnsi"/>
        </w:rPr>
        <w:t>Jednostkowej Pożyczki</w:t>
      </w:r>
      <w:r w:rsidR="00EF31C7" w:rsidRPr="00B54F04">
        <w:rPr>
          <w:rFonts w:asciiTheme="minorHAnsi" w:hAnsiTheme="minorHAnsi" w:cstheme="minorHAnsi"/>
        </w:rPr>
        <w:t>.</w:t>
      </w:r>
    </w:p>
    <w:p w14:paraId="63F2F2B0" w14:textId="4B069C25" w:rsidR="006E574E" w:rsidRPr="00B54F04" w:rsidRDefault="004438E9" w:rsidP="00CF7820">
      <w:pPr>
        <w:pStyle w:val="Akapitzlist"/>
        <w:numPr>
          <w:ilvl w:val="0"/>
          <w:numId w:val="26"/>
        </w:numPr>
        <w:spacing w:before="120" w:after="120"/>
        <w:ind w:left="284"/>
        <w:contextualSpacing w:val="0"/>
        <w:rPr>
          <w:rFonts w:asciiTheme="minorHAnsi" w:hAnsiTheme="minorHAnsi" w:cstheme="minorHAnsi"/>
        </w:rPr>
      </w:pPr>
      <w:r w:rsidRPr="00B54F04">
        <w:rPr>
          <w:rFonts w:asciiTheme="minorHAnsi" w:hAnsiTheme="minorHAnsi" w:cstheme="minorHAnsi"/>
        </w:rPr>
        <w:lastRenderedPageBreak/>
        <w:t>Dodatkowo w</w:t>
      </w:r>
      <w:r w:rsidR="006E574E" w:rsidRPr="00B54F04">
        <w:rPr>
          <w:rFonts w:asciiTheme="minorHAnsi" w:hAnsiTheme="minorHAnsi" w:cstheme="minorHAnsi"/>
        </w:rPr>
        <w:t xml:space="preserve"> przypadku Inwestycji Końcowych, w wyniku realizacji których osiągnięte zostaną poniższe </w:t>
      </w:r>
      <w:r w:rsidR="00771E83" w:rsidRPr="00B54F04">
        <w:rPr>
          <w:rFonts w:asciiTheme="minorHAnsi" w:hAnsiTheme="minorHAnsi" w:cstheme="minorHAnsi"/>
        </w:rPr>
        <w:t>cele</w:t>
      </w:r>
      <w:r w:rsidR="006E574E" w:rsidRPr="00B54F04">
        <w:rPr>
          <w:rFonts w:asciiTheme="minorHAnsi" w:hAnsiTheme="minorHAnsi" w:cstheme="minorHAnsi"/>
        </w:rPr>
        <w:t xml:space="preserve">, przewidziana jest </w:t>
      </w:r>
      <w:r w:rsidR="000C2266">
        <w:rPr>
          <w:rFonts w:asciiTheme="minorHAnsi" w:hAnsiTheme="minorHAnsi" w:cstheme="minorHAnsi"/>
        </w:rPr>
        <w:t>D</w:t>
      </w:r>
      <w:r w:rsidR="006E574E" w:rsidRPr="00B54F04">
        <w:rPr>
          <w:rFonts w:asciiTheme="minorHAnsi" w:hAnsiTheme="minorHAnsi" w:cstheme="minorHAnsi"/>
        </w:rPr>
        <w:t>otacja w następującej wysokości:</w:t>
      </w:r>
    </w:p>
    <w:p w14:paraId="7A55463E" w14:textId="16D7959E" w:rsidR="006E574E" w:rsidRPr="00B54F04" w:rsidRDefault="006E574E" w:rsidP="00CF7820">
      <w:pPr>
        <w:pStyle w:val="Akapitzlist"/>
        <w:spacing w:before="120" w:after="120"/>
        <w:ind w:left="1418" w:hanging="284"/>
        <w:contextualSpacing w:val="0"/>
        <w:rPr>
          <w:rFonts w:asciiTheme="minorHAnsi" w:hAnsiTheme="minorHAnsi" w:cstheme="minorHAnsi"/>
        </w:rPr>
      </w:pPr>
      <w:r w:rsidRPr="00B54F04">
        <w:rPr>
          <w:rFonts w:asciiTheme="minorHAnsi" w:hAnsiTheme="minorHAnsi" w:cstheme="minorHAnsi"/>
        </w:rPr>
        <w:t xml:space="preserve">a) </w:t>
      </w:r>
      <w:r w:rsidR="00431C79" w:rsidRPr="00B54F04">
        <w:rPr>
          <w:rFonts w:asciiTheme="minorHAnsi" w:hAnsiTheme="minorHAnsi" w:cstheme="minorHAnsi"/>
        </w:rPr>
        <w:t>7</w:t>
      </w:r>
      <w:r w:rsidR="00CF07DC" w:rsidRPr="00B54F04">
        <w:rPr>
          <w:rFonts w:asciiTheme="minorHAnsi" w:hAnsiTheme="minorHAnsi" w:cstheme="minorHAnsi"/>
        </w:rPr>
        <w:t xml:space="preserve">% </w:t>
      </w:r>
      <w:r w:rsidR="00EF31C7" w:rsidRPr="00B54F04">
        <w:rPr>
          <w:rFonts w:asciiTheme="minorHAnsi" w:hAnsiTheme="minorHAnsi" w:cstheme="minorHAnsi"/>
        </w:rPr>
        <w:t xml:space="preserve">kapitału </w:t>
      </w:r>
      <w:r w:rsidR="005F15BD" w:rsidRPr="00B54F04">
        <w:rPr>
          <w:rFonts w:asciiTheme="minorHAnsi" w:hAnsiTheme="minorHAnsi" w:cstheme="minorHAnsi"/>
        </w:rPr>
        <w:t>Jednostkowej P</w:t>
      </w:r>
      <w:r w:rsidR="00EF31C7" w:rsidRPr="00B54F04">
        <w:rPr>
          <w:rFonts w:asciiTheme="minorHAnsi" w:hAnsiTheme="minorHAnsi" w:cstheme="minorHAnsi"/>
        </w:rPr>
        <w:t>ożyczki</w:t>
      </w:r>
      <w:r w:rsidR="00A17383" w:rsidRPr="00B54F04">
        <w:rPr>
          <w:rFonts w:asciiTheme="minorHAnsi" w:hAnsiTheme="minorHAnsi" w:cstheme="minorHAnsi"/>
        </w:rPr>
        <w:t xml:space="preserve"> </w:t>
      </w:r>
      <w:r w:rsidR="00C633B1" w:rsidRPr="00B54F04">
        <w:rPr>
          <w:rFonts w:asciiTheme="minorHAnsi" w:hAnsiTheme="minorHAnsi" w:cstheme="minorHAnsi"/>
        </w:rPr>
        <w:t>dla projektów łączących instalację do produkcji energii z OZE z magazynami energii</w:t>
      </w:r>
      <w:r w:rsidR="00D13119" w:rsidRPr="00B54F04">
        <w:rPr>
          <w:rFonts w:asciiTheme="minorHAnsi" w:hAnsiTheme="minorHAnsi" w:cstheme="minorHAnsi"/>
        </w:rPr>
        <w:t>,</w:t>
      </w:r>
    </w:p>
    <w:p w14:paraId="34749F7A" w14:textId="6861C8A9" w:rsidR="006E574E" w:rsidRPr="00B54F04" w:rsidRDefault="006E574E" w:rsidP="00CF7820">
      <w:pPr>
        <w:pStyle w:val="Akapitzlist"/>
        <w:spacing w:before="120" w:after="120"/>
        <w:ind w:left="1418" w:hanging="284"/>
        <w:contextualSpacing w:val="0"/>
        <w:rPr>
          <w:rFonts w:asciiTheme="minorHAnsi" w:hAnsiTheme="minorHAnsi" w:cstheme="minorHAnsi"/>
        </w:rPr>
      </w:pPr>
      <w:r w:rsidRPr="00B54F04">
        <w:rPr>
          <w:rFonts w:asciiTheme="minorHAnsi" w:hAnsiTheme="minorHAnsi" w:cstheme="minorHAnsi"/>
        </w:rPr>
        <w:t xml:space="preserve">b) </w:t>
      </w:r>
      <w:r w:rsidR="00431C79" w:rsidRPr="00B54F04">
        <w:rPr>
          <w:rFonts w:asciiTheme="minorHAnsi" w:hAnsiTheme="minorHAnsi" w:cstheme="minorHAnsi"/>
        </w:rPr>
        <w:t>3</w:t>
      </w:r>
      <w:r w:rsidR="00C633B1" w:rsidRPr="00B54F04">
        <w:rPr>
          <w:rFonts w:asciiTheme="minorHAnsi" w:hAnsiTheme="minorHAnsi" w:cstheme="minorHAnsi"/>
        </w:rPr>
        <w:t>%</w:t>
      </w:r>
      <w:r w:rsidR="00D96FD3" w:rsidRPr="00B54F04">
        <w:rPr>
          <w:rFonts w:asciiTheme="minorHAnsi" w:hAnsiTheme="minorHAnsi" w:cstheme="minorHAnsi"/>
        </w:rPr>
        <w:t xml:space="preserve"> </w:t>
      </w:r>
      <w:r w:rsidR="00EF31C7" w:rsidRPr="00B54F04">
        <w:rPr>
          <w:rFonts w:asciiTheme="minorHAnsi" w:hAnsiTheme="minorHAnsi" w:cstheme="minorHAnsi"/>
        </w:rPr>
        <w:t>kapitału</w:t>
      </w:r>
      <w:r w:rsidR="005F15BD" w:rsidRPr="00B54F04">
        <w:rPr>
          <w:rFonts w:asciiTheme="minorHAnsi" w:hAnsiTheme="minorHAnsi" w:cstheme="minorHAnsi"/>
        </w:rPr>
        <w:t xml:space="preserve"> Jednostkowej</w:t>
      </w:r>
      <w:r w:rsidR="00EF31C7" w:rsidRPr="00B54F04">
        <w:rPr>
          <w:rFonts w:asciiTheme="minorHAnsi" w:hAnsiTheme="minorHAnsi" w:cstheme="minorHAnsi"/>
        </w:rPr>
        <w:t xml:space="preserve"> </w:t>
      </w:r>
      <w:r w:rsidR="005F15BD" w:rsidRPr="00B54F04">
        <w:rPr>
          <w:rFonts w:asciiTheme="minorHAnsi" w:hAnsiTheme="minorHAnsi" w:cstheme="minorHAnsi"/>
        </w:rPr>
        <w:t>P</w:t>
      </w:r>
      <w:r w:rsidR="00EF31C7" w:rsidRPr="00B54F04">
        <w:rPr>
          <w:rFonts w:asciiTheme="minorHAnsi" w:hAnsiTheme="minorHAnsi" w:cstheme="minorHAnsi"/>
        </w:rPr>
        <w:t>ożyczki</w:t>
      </w:r>
      <w:r w:rsidR="00A17383" w:rsidRPr="00B54F04">
        <w:rPr>
          <w:rFonts w:asciiTheme="minorHAnsi" w:hAnsiTheme="minorHAnsi" w:cstheme="minorHAnsi"/>
        </w:rPr>
        <w:t xml:space="preserve"> </w:t>
      </w:r>
      <w:r w:rsidR="00C633B1" w:rsidRPr="00B54F04">
        <w:rPr>
          <w:rFonts w:asciiTheme="minorHAnsi" w:hAnsiTheme="minorHAnsi" w:cstheme="minorHAnsi"/>
        </w:rPr>
        <w:t xml:space="preserve">za realizację szerszych celów Polityki Spójności (np. </w:t>
      </w:r>
      <w:r w:rsidR="00EC7400" w:rsidRPr="00B54F04">
        <w:rPr>
          <w:rFonts w:asciiTheme="minorHAnsi" w:hAnsiTheme="minorHAnsi" w:cstheme="minorHAnsi"/>
        </w:rPr>
        <w:t xml:space="preserve">utworzenie </w:t>
      </w:r>
      <w:r w:rsidR="00C633B1" w:rsidRPr="00B54F04">
        <w:rPr>
          <w:rFonts w:asciiTheme="minorHAnsi" w:hAnsiTheme="minorHAnsi" w:cstheme="minorHAnsi"/>
        </w:rPr>
        <w:t>punkt</w:t>
      </w:r>
      <w:r w:rsidR="00EC7400" w:rsidRPr="00B54F04">
        <w:rPr>
          <w:rFonts w:asciiTheme="minorHAnsi" w:hAnsiTheme="minorHAnsi" w:cstheme="minorHAnsi"/>
        </w:rPr>
        <w:t>ów</w:t>
      </w:r>
      <w:r w:rsidR="00C633B1" w:rsidRPr="00B54F04">
        <w:rPr>
          <w:rFonts w:asciiTheme="minorHAnsi" w:hAnsiTheme="minorHAnsi" w:cstheme="minorHAnsi"/>
        </w:rPr>
        <w:t xml:space="preserve"> ładowania pojazdów,</w:t>
      </w:r>
      <w:r w:rsidR="000A2923" w:rsidRPr="00B54F04">
        <w:rPr>
          <w:rFonts w:asciiTheme="minorHAnsi" w:hAnsiTheme="minorHAnsi" w:cstheme="minorHAnsi"/>
        </w:rPr>
        <w:t xml:space="preserve"> rozwój</w:t>
      </w:r>
      <w:r w:rsidR="00D131A2" w:rsidRPr="00B54F04">
        <w:rPr>
          <w:rFonts w:asciiTheme="minorHAnsi" w:hAnsiTheme="minorHAnsi" w:cstheme="minorHAnsi"/>
        </w:rPr>
        <w:t xml:space="preserve"> </w:t>
      </w:r>
      <w:hyperlink r:id="rId8" w:history="1">
        <w:r w:rsidR="00C633B1" w:rsidRPr="00B54F04">
          <w:rPr>
            <w:rStyle w:val="Hipercze"/>
            <w:rFonts w:asciiTheme="minorHAnsi" w:hAnsiTheme="minorHAnsi" w:cstheme="minorHAnsi"/>
            <w:color w:val="auto"/>
          </w:rPr>
          <w:t>zielon</w:t>
        </w:r>
        <w:r w:rsidR="000A2923" w:rsidRPr="00B54F04">
          <w:rPr>
            <w:rStyle w:val="Hipercze"/>
            <w:rFonts w:asciiTheme="minorHAnsi" w:hAnsiTheme="minorHAnsi" w:cstheme="minorHAnsi"/>
            <w:color w:val="auto"/>
          </w:rPr>
          <w:t>ej</w:t>
        </w:r>
        <w:r w:rsidR="00C633B1" w:rsidRPr="00B54F04">
          <w:rPr>
            <w:rStyle w:val="Hipercze"/>
            <w:rFonts w:asciiTheme="minorHAnsi" w:hAnsiTheme="minorHAnsi" w:cstheme="minorHAnsi"/>
            <w:color w:val="auto"/>
          </w:rPr>
          <w:t xml:space="preserve"> </w:t>
        </w:r>
        <w:r w:rsidR="00E35807" w:rsidRPr="00B54F04">
          <w:rPr>
            <w:rStyle w:val="Hipercze"/>
            <w:rFonts w:asciiTheme="minorHAnsi" w:hAnsiTheme="minorHAnsi" w:cstheme="minorHAnsi"/>
            <w:color w:val="auto"/>
          </w:rPr>
          <w:t>infrastruktury</w:t>
        </w:r>
      </w:hyperlink>
      <w:r w:rsidR="00603E37" w:rsidRPr="00B54F04">
        <w:rPr>
          <w:rStyle w:val="Odwoanieprzypisudolnego"/>
          <w:rFonts w:asciiTheme="minorHAnsi" w:hAnsiTheme="minorHAnsi" w:cstheme="minorHAnsi"/>
        </w:rPr>
        <w:footnoteReference w:id="2"/>
      </w:r>
      <w:r w:rsidR="00E35807" w:rsidRPr="00B54F04">
        <w:rPr>
          <w:rFonts w:asciiTheme="minorHAnsi" w:hAnsiTheme="minorHAnsi" w:cstheme="minorHAnsi"/>
        </w:rPr>
        <w:t xml:space="preserve"> </w:t>
      </w:r>
      <w:r w:rsidR="00C633B1" w:rsidRPr="00B54F04">
        <w:rPr>
          <w:rFonts w:asciiTheme="minorHAnsi" w:hAnsiTheme="minorHAnsi" w:cstheme="minorHAnsi"/>
        </w:rPr>
        <w:t xml:space="preserve">oraz </w:t>
      </w:r>
      <w:hyperlink r:id="rId9" w:history="1">
        <w:r w:rsidR="00C633B1" w:rsidRPr="00B54F04">
          <w:rPr>
            <w:rStyle w:val="Hipercze"/>
            <w:rFonts w:asciiTheme="minorHAnsi" w:hAnsiTheme="minorHAnsi" w:cstheme="minorHAnsi"/>
            <w:color w:val="auto"/>
          </w:rPr>
          <w:t>zielono-niebiesk</w:t>
        </w:r>
        <w:r w:rsidR="000A2923" w:rsidRPr="00B54F04">
          <w:rPr>
            <w:rStyle w:val="Hipercze"/>
            <w:rFonts w:asciiTheme="minorHAnsi" w:hAnsiTheme="minorHAnsi" w:cstheme="minorHAnsi"/>
            <w:color w:val="auto"/>
          </w:rPr>
          <w:t>iej</w:t>
        </w:r>
        <w:r w:rsidR="00C633B1" w:rsidRPr="00B54F04">
          <w:rPr>
            <w:rStyle w:val="Hipercze"/>
            <w:rFonts w:asciiTheme="minorHAnsi" w:hAnsiTheme="minorHAnsi" w:cstheme="minorHAnsi"/>
            <w:color w:val="auto"/>
          </w:rPr>
          <w:t xml:space="preserve"> infrastruktur</w:t>
        </w:r>
        <w:r w:rsidR="000A2923" w:rsidRPr="00B54F04">
          <w:rPr>
            <w:rStyle w:val="Hipercze"/>
            <w:rFonts w:asciiTheme="minorHAnsi" w:hAnsiTheme="minorHAnsi" w:cstheme="minorHAnsi"/>
            <w:color w:val="auto"/>
          </w:rPr>
          <w:t>y</w:t>
        </w:r>
      </w:hyperlink>
      <w:r w:rsidR="00D131A2" w:rsidRPr="00B54F04">
        <w:rPr>
          <w:rFonts w:asciiTheme="minorHAnsi" w:hAnsiTheme="minorHAnsi" w:cstheme="minorHAnsi"/>
        </w:rPr>
        <w:t>).</w:t>
      </w:r>
    </w:p>
    <w:p w14:paraId="4D0E1B2A" w14:textId="4CD13701" w:rsidR="00EF31C7" w:rsidRPr="00B54F04" w:rsidRDefault="00C633B1" w:rsidP="00CF7820">
      <w:pPr>
        <w:pStyle w:val="Akapitzlist"/>
        <w:spacing w:before="120" w:after="120"/>
        <w:ind w:left="284"/>
        <w:contextualSpacing w:val="0"/>
        <w:rPr>
          <w:rFonts w:asciiTheme="minorHAnsi" w:hAnsiTheme="minorHAnsi" w:cstheme="minorHAnsi"/>
        </w:rPr>
      </w:pPr>
      <w:r w:rsidRPr="00B54F04">
        <w:rPr>
          <w:rFonts w:asciiTheme="minorHAnsi" w:hAnsiTheme="minorHAnsi" w:cstheme="minorHAnsi"/>
        </w:rPr>
        <w:t xml:space="preserve">W przypadku spełnienia przez Ostatecznego Odbiorcę więcej niż jednego z ww. warunków wysokość </w:t>
      </w:r>
      <w:r w:rsidR="000C2266">
        <w:rPr>
          <w:rFonts w:asciiTheme="minorHAnsi" w:hAnsiTheme="minorHAnsi" w:cstheme="minorHAnsi"/>
        </w:rPr>
        <w:t>D</w:t>
      </w:r>
      <w:r w:rsidR="00484812">
        <w:rPr>
          <w:rFonts w:asciiTheme="minorHAnsi" w:hAnsiTheme="minorHAnsi" w:cstheme="minorHAnsi"/>
        </w:rPr>
        <w:t>otacji</w:t>
      </w:r>
      <w:r w:rsidR="00484812" w:rsidRPr="00B54F04">
        <w:rPr>
          <w:rFonts w:asciiTheme="minorHAnsi" w:hAnsiTheme="minorHAnsi" w:cstheme="minorHAnsi"/>
        </w:rPr>
        <w:t xml:space="preserve"> </w:t>
      </w:r>
      <w:r w:rsidRPr="00B54F04">
        <w:rPr>
          <w:rFonts w:asciiTheme="minorHAnsi" w:hAnsiTheme="minorHAnsi" w:cstheme="minorHAnsi"/>
        </w:rPr>
        <w:t>sumuje się</w:t>
      </w:r>
      <w:r w:rsidR="005A7CC8" w:rsidRPr="00B54F04">
        <w:rPr>
          <w:rFonts w:asciiTheme="minorHAnsi" w:hAnsiTheme="minorHAnsi" w:cstheme="minorHAnsi"/>
        </w:rPr>
        <w:t xml:space="preserve"> i wynosi nie więcej niż 30% kapitału Jednostkowej Pożyczki.</w:t>
      </w:r>
      <w:r w:rsidR="004438E9" w:rsidRPr="00B54F04">
        <w:rPr>
          <w:rFonts w:asciiTheme="minorHAnsi" w:hAnsiTheme="minorHAnsi" w:cstheme="minorHAnsi"/>
        </w:rPr>
        <w:t xml:space="preserve"> </w:t>
      </w:r>
    </w:p>
    <w:p w14:paraId="7BF5437F" w14:textId="310E2B34" w:rsidR="006E574E" w:rsidRPr="00B54F04" w:rsidRDefault="006E574E" w:rsidP="00CF7820">
      <w:pPr>
        <w:pStyle w:val="Akapitzlist"/>
        <w:numPr>
          <w:ilvl w:val="0"/>
          <w:numId w:val="26"/>
        </w:numPr>
        <w:spacing w:before="120" w:after="120"/>
        <w:ind w:left="284"/>
        <w:contextualSpacing w:val="0"/>
        <w:rPr>
          <w:rFonts w:asciiTheme="minorHAnsi" w:hAnsiTheme="minorHAnsi" w:cstheme="minorHAnsi"/>
        </w:rPr>
      </w:pPr>
      <w:r w:rsidRPr="00B54F04">
        <w:rPr>
          <w:rFonts w:asciiTheme="minorHAnsi" w:hAnsiTheme="minorHAnsi" w:cstheme="minorHAnsi"/>
        </w:rPr>
        <w:t xml:space="preserve">Szczegółowe warunki i zasady </w:t>
      </w:r>
      <w:r w:rsidR="00BE3229">
        <w:rPr>
          <w:rFonts w:asciiTheme="minorHAnsi" w:hAnsiTheme="minorHAnsi" w:cstheme="minorHAnsi"/>
        </w:rPr>
        <w:t>dotyczące</w:t>
      </w:r>
      <w:r w:rsidR="000C2266" w:rsidRPr="00B54F04">
        <w:rPr>
          <w:rFonts w:asciiTheme="minorHAnsi" w:hAnsiTheme="minorHAnsi" w:cstheme="minorHAnsi"/>
        </w:rPr>
        <w:t xml:space="preserve"> </w:t>
      </w:r>
      <w:r w:rsidR="000C2266">
        <w:rPr>
          <w:rFonts w:asciiTheme="minorHAnsi" w:hAnsiTheme="minorHAnsi" w:cstheme="minorHAnsi"/>
        </w:rPr>
        <w:t>D</w:t>
      </w:r>
      <w:r w:rsidR="00484812">
        <w:rPr>
          <w:rFonts w:asciiTheme="minorHAnsi" w:hAnsiTheme="minorHAnsi" w:cstheme="minorHAnsi"/>
        </w:rPr>
        <w:t>otacji</w:t>
      </w:r>
      <w:r w:rsidR="00484812" w:rsidRPr="00B54F04">
        <w:rPr>
          <w:rFonts w:asciiTheme="minorHAnsi" w:hAnsiTheme="minorHAnsi" w:cstheme="minorHAnsi"/>
        </w:rPr>
        <w:t xml:space="preserve"> </w:t>
      </w:r>
      <w:r w:rsidRPr="00B54F04">
        <w:rPr>
          <w:rFonts w:asciiTheme="minorHAnsi" w:hAnsiTheme="minorHAnsi" w:cstheme="minorHAnsi"/>
        </w:rPr>
        <w:t xml:space="preserve">określone zostały w Części </w:t>
      </w:r>
      <w:r w:rsidR="00F04C7D">
        <w:rPr>
          <w:rFonts w:asciiTheme="minorHAnsi" w:hAnsiTheme="minorHAnsi" w:cstheme="minorHAnsi"/>
        </w:rPr>
        <w:t>I</w:t>
      </w:r>
      <w:r w:rsidRPr="00B54F04">
        <w:rPr>
          <w:rFonts w:asciiTheme="minorHAnsi" w:hAnsiTheme="minorHAnsi" w:cstheme="minorHAnsi"/>
        </w:rPr>
        <w:t xml:space="preserve">X </w:t>
      </w:r>
      <w:r w:rsidR="00F04C7D">
        <w:rPr>
          <w:rFonts w:asciiTheme="minorHAnsi" w:hAnsiTheme="minorHAnsi" w:cstheme="minorHAnsi"/>
        </w:rPr>
        <w:t>Karty</w:t>
      </w:r>
      <w:r w:rsidRPr="00B54F04">
        <w:rPr>
          <w:rFonts w:asciiTheme="minorHAnsi" w:hAnsiTheme="minorHAnsi" w:cstheme="minorHAnsi"/>
        </w:rPr>
        <w:t>.</w:t>
      </w:r>
    </w:p>
    <w:p w14:paraId="4528EF03" w14:textId="4998EA85" w:rsidR="001E1B95" w:rsidRPr="00B54F04" w:rsidRDefault="001E1B95" w:rsidP="00264310">
      <w:pPr>
        <w:pStyle w:val="Nagwek1"/>
        <w:spacing w:after="240"/>
        <w:jc w:val="both"/>
        <w:rPr>
          <w:color w:val="auto"/>
        </w:rPr>
      </w:pPr>
      <w:r w:rsidRPr="00B54F04">
        <w:rPr>
          <w:color w:val="auto"/>
        </w:rPr>
        <w:t>Część I</w:t>
      </w:r>
      <w:r w:rsidR="00422E13">
        <w:rPr>
          <w:color w:val="auto"/>
        </w:rPr>
        <w:t>II</w:t>
      </w:r>
      <w:r w:rsidRPr="00B54F04">
        <w:rPr>
          <w:color w:val="auto"/>
        </w:rPr>
        <w:t xml:space="preserve"> Typy Inwestycji Końcowych możliwe do sfinansowania</w:t>
      </w:r>
    </w:p>
    <w:p w14:paraId="525C26D0" w14:textId="1727B5C8" w:rsidR="001327AA" w:rsidRPr="00B54F04" w:rsidRDefault="001327AA" w:rsidP="00211D31">
      <w:pPr>
        <w:pStyle w:val="Default"/>
        <w:numPr>
          <w:ilvl w:val="0"/>
          <w:numId w:val="1"/>
        </w:numPr>
        <w:spacing w:before="120" w:after="120" w:line="276" w:lineRule="auto"/>
        <w:ind w:left="284"/>
        <w:rPr>
          <w:rFonts w:asciiTheme="minorHAnsi" w:hAnsiTheme="minorHAnsi" w:cstheme="minorHAnsi"/>
          <w:color w:val="auto"/>
          <w:sz w:val="22"/>
          <w:szCs w:val="22"/>
        </w:rPr>
      </w:pPr>
      <w:r w:rsidRPr="00B54F04">
        <w:rPr>
          <w:rFonts w:asciiTheme="minorHAnsi" w:hAnsiTheme="minorHAnsi" w:cstheme="minorHAnsi"/>
          <w:color w:val="auto"/>
          <w:sz w:val="22"/>
          <w:szCs w:val="22"/>
        </w:rPr>
        <w:t>Jednostkowa Pożyczka może być przeznaczona na finansowanie Inwestycji Końcowych polegających na</w:t>
      </w:r>
      <w:r w:rsidR="00374396" w:rsidRPr="00B54F04">
        <w:rPr>
          <w:rFonts w:asciiTheme="minorHAnsi" w:hAnsiTheme="minorHAnsi" w:cstheme="minorHAnsi"/>
          <w:color w:val="auto"/>
          <w:sz w:val="22"/>
          <w:szCs w:val="22"/>
        </w:rPr>
        <w:t>:</w:t>
      </w:r>
    </w:p>
    <w:p w14:paraId="411E34C9" w14:textId="099BA33C" w:rsidR="0028013F" w:rsidRPr="00B54F04" w:rsidRDefault="0028013F" w:rsidP="00CF7820">
      <w:pPr>
        <w:pStyle w:val="Default"/>
        <w:numPr>
          <w:ilvl w:val="0"/>
          <w:numId w:val="27"/>
        </w:numPr>
        <w:spacing w:before="120" w:after="120" w:line="276" w:lineRule="auto"/>
        <w:rPr>
          <w:rFonts w:asciiTheme="minorHAnsi" w:hAnsiTheme="minorHAnsi" w:cstheme="minorHAnsi"/>
          <w:color w:val="auto"/>
          <w:sz w:val="22"/>
          <w:szCs w:val="22"/>
        </w:rPr>
      </w:pPr>
      <w:r w:rsidRPr="00B54F04">
        <w:rPr>
          <w:rFonts w:asciiTheme="minorHAnsi" w:hAnsiTheme="minorHAnsi" w:cstheme="minorHAnsi"/>
          <w:color w:val="auto"/>
          <w:sz w:val="22"/>
          <w:szCs w:val="22"/>
        </w:rPr>
        <w:t>budow</w:t>
      </w:r>
      <w:r w:rsidR="004C219E" w:rsidRPr="00B54F04">
        <w:rPr>
          <w:rFonts w:asciiTheme="minorHAnsi" w:hAnsiTheme="minorHAnsi" w:cstheme="minorHAnsi"/>
          <w:color w:val="auto"/>
          <w:sz w:val="22"/>
          <w:szCs w:val="22"/>
        </w:rPr>
        <w:t>ie</w:t>
      </w:r>
      <w:r w:rsidRPr="00B54F04">
        <w:rPr>
          <w:rFonts w:asciiTheme="minorHAnsi" w:hAnsiTheme="minorHAnsi" w:cstheme="minorHAnsi"/>
          <w:color w:val="auto"/>
          <w:sz w:val="22"/>
          <w:szCs w:val="22"/>
        </w:rPr>
        <w:t xml:space="preserve"> lub rozbudow</w:t>
      </w:r>
      <w:r w:rsidR="004C219E" w:rsidRPr="00B54F04">
        <w:rPr>
          <w:rFonts w:asciiTheme="minorHAnsi" w:hAnsiTheme="minorHAnsi" w:cstheme="minorHAnsi"/>
          <w:color w:val="auto"/>
          <w:sz w:val="22"/>
          <w:szCs w:val="22"/>
        </w:rPr>
        <w:t>ie</w:t>
      </w:r>
      <w:r w:rsidRPr="00B54F04">
        <w:rPr>
          <w:rFonts w:asciiTheme="minorHAnsi" w:hAnsiTheme="minorHAnsi" w:cstheme="minorHAnsi"/>
          <w:color w:val="auto"/>
          <w:sz w:val="22"/>
          <w:szCs w:val="22"/>
        </w:rPr>
        <w:t xml:space="preserve"> instalacji do produkcji energii elektrycznej z OZE wraz z przyłączami i możliwością budowy magazynów energii działających na potrzeby danego źródła OZE</w:t>
      </w:r>
      <w:r w:rsidR="00C65CC1" w:rsidRPr="00B54F04">
        <w:rPr>
          <w:rFonts w:asciiTheme="minorHAnsi" w:hAnsiTheme="minorHAnsi" w:cstheme="minorHAnsi"/>
          <w:color w:val="auto"/>
          <w:sz w:val="22"/>
          <w:szCs w:val="22"/>
        </w:rPr>
        <w:t>,</w:t>
      </w:r>
    </w:p>
    <w:p w14:paraId="40EC8BB6" w14:textId="77777777" w:rsidR="00503E80" w:rsidRDefault="0028013F" w:rsidP="00CF7820">
      <w:pPr>
        <w:pStyle w:val="Default"/>
        <w:numPr>
          <w:ilvl w:val="0"/>
          <w:numId w:val="27"/>
        </w:numPr>
        <w:spacing w:before="120" w:after="120" w:line="276" w:lineRule="auto"/>
        <w:rPr>
          <w:rFonts w:asciiTheme="minorHAnsi" w:hAnsiTheme="minorHAnsi" w:cstheme="minorHAnsi"/>
          <w:color w:val="auto"/>
          <w:sz w:val="22"/>
          <w:szCs w:val="22"/>
        </w:rPr>
      </w:pPr>
      <w:r w:rsidRPr="00B54F04">
        <w:rPr>
          <w:rFonts w:asciiTheme="minorHAnsi" w:hAnsiTheme="minorHAnsi" w:cstheme="minorHAnsi"/>
          <w:color w:val="auto"/>
          <w:sz w:val="22"/>
          <w:szCs w:val="22"/>
        </w:rPr>
        <w:t>budow</w:t>
      </w:r>
      <w:r w:rsidR="004C219E" w:rsidRPr="00B54F04">
        <w:rPr>
          <w:rFonts w:asciiTheme="minorHAnsi" w:hAnsiTheme="minorHAnsi" w:cstheme="minorHAnsi"/>
          <w:color w:val="auto"/>
          <w:sz w:val="22"/>
          <w:szCs w:val="22"/>
        </w:rPr>
        <w:t>ie</w:t>
      </w:r>
      <w:r w:rsidRPr="00B54F04">
        <w:rPr>
          <w:rFonts w:asciiTheme="minorHAnsi" w:hAnsiTheme="minorHAnsi" w:cstheme="minorHAnsi"/>
          <w:color w:val="auto"/>
          <w:sz w:val="22"/>
          <w:szCs w:val="22"/>
        </w:rPr>
        <w:t xml:space="preserve"> lub rozbudow</w:t>
      </w:r>
      <w:r w:rsidR="004C219E" w:rsidRPr="00B54F04">
        <w:rPr>
          <w:rFonts w:asciiTheme="minorHAnsi" w:hAnsiTheme="minorHAnsi" w:cstheme="minorHAnsi"/>
          <w:color w:val="auto"/>
          <w:sz w:val="22"/>
          <w:szCs w:val="22"/>
        </w:rPr>
        <w:t>ie</w:t>
      </w:r>
      <w:r w:rsidRPr="00B54F04">
        <w:rPr>
          <w:rFonts w:asciiTheme="minorHAnsi" w:hAnsiTheme="minorHAnsi" w:cstheme="minorHAnsi"/>
          <w:color w:val="auto"/>
          <w:sz w:val="22"/>
          <w:szCs w:val="22"/>
        </w:rPr>
        <w:t xml:space="preserve"> instalacji do produkcji ciepła z odnawialnych źródeł energii wraz z możliwością budowy magazynów ciepła działających na potrzeby danego źródła OZE</w:t>
      </w:r>
      <w:r w:rsidR="00C65CC1" w:rsidRPr="00B54F04">
        <w:rPr>
          <w:rFonts w:asciiTheme="minorHAnsi" w:hAnsiTheme="minorHAnsi" w:cstheme="minorHAnsi"/>
          <w:color w:val="auto"/>
          <w:sz w:val="22"/>
          <w:szCs w:val="22"/>
        </w:rPr>
        <w:t>,</w:t>
      </w:r>
    </w:p>
    <w:p w14:paraId="4347FFE5" w14:textId="6D319BE5" w:rsidR="00374396" w:rsidRPr="00B54F04" w:rsidRDefault="0028013F" w:rsidP="00CF7820">
      <w:pPr>
        <w:pStyle w:val="Default"/>
        <w:numPr>
          <w:ilvl w:val="0"/>
          <w:numId w:val="27"/>
        </w:numPr>
        <w:spacing w:before="120" w:after="120" w:line="276" w:lineRule="auto"/>
        <w:rPr>
          <w:rFonts w:asciiTheme="minorHAnsi" w:hAnsiTheme="minorHAnsi" w:cstheme="minorHAnsi"/>
          <w:color w:val="auto"/>
          <w:sz w:val="22"/>
          <w:szCs w:val="22"/>
        </w:rPr>
      </w:pPr>
      <w:r w:rsidRPr="00B54F04">
        <w:rPr>
          <w:rFonts w:asciiTheme="minorHAnsi" w:hAnsiTheme="minorHAnsi" w:cstheme="minorHAnsi"/>
          <w:color w:val="auto"/>
          <w:sz w:val="22"/>
          <w:szCs w:val="22"/>
        </w:rPr>
        <w:t xml:space="preserve"> </w:t>
      </w:r>
      <w:r w:rsidR="00503E80" w:rsidRPr="00503E80">
        <w:rPr>
          <w:rFonts w:asciiTheme="minorHAnsi" w:hAnsiTheme="minorHAnsi" w:cstheme="minorHAnsi"/>
          <w:color w:val="auto"/>
          <w:sz w:val="22"/>
          <w:szCs w:val="22"/>
        </w:rPr>
        <w:t>budowie magazynów energii elektrycznej i/lub magazynów ciepła zastosowanych dla istniejącej już instalacji energii odnawialnej.</w:t>
      </w:r>
    </w:p>
    <w:p w14:paraId="74C758FE" w14:textId="2F98417B" w:rsidR="00374396" w:rsidRPr="00B54F04" w:rsidRDefault="00374396" w:rsidP="00CF7820">
      <w:pPr>
        <w:pStyle w:val="Akapitzlist"/>
        <w:spacing w:before="120" w:after="120"/>
        <w:ind w:hanging="153"/>
        <w:contextualSpacing w:val="0"/>
        <w:rPr>
          <w:rFonts w:asciiTheme="minorHAnsi" w:hAnsiTheme="minorHAnsi" w:cstheme="minorHAnsi"/>
        </w:rPr>
      </w:pPr>
      <w:r w:rsidRPr="00B54F04">
        <w:rPr>
          <w:rFonts w:asciiTheme="minorHAnsi" w:hAnsiTheme="minorHAnsi" w:cstheme="minorHAnsi"/>
        </w:rPr>
        <w:t>zwanych dalej Typami Inwestycji Końcowych.</w:t>
      </w:r>
    </w:p>
    <w:p w14:paraId="50C6F269" w14:textId="2A1CA2DD" w:rsidR="001327AA" w:rsidRPr="00B54F04" w:rsidRDefault="001327AA" w:rsidP="00211D31">
      <w:pPr>
        <w:pStyle w:val="Default"/>
        <w:numPr>
          <w:ilvl w:val="0"/>
          <w:numId w:val="1"/>
        </w:numPr>
        <w:spacing w:before="120" w:after="120" w:line="276" w:lineRule="auto"/>
        <w:ind w:left="284" w:hanging="284"/>
        <w:rPr>
          <w:rFonts w:asciiTheme="minorHAnsi" w:hAnsiTheme="minorHAnsi" w:cstheme="minorHAnsi"/>
          <w:color w:val="auto"/>
          <w:sz w:val="22"/>
          <w:szCs w:val="22"/>
        </w:rPr>
      </w:pPr>
      <w:r w:rsidRPr="00B54F04">
        <w:rPr>
          <w:rFonts w:asciiTheme="minorHAnsi" w:hAnsiTheme="minorHAnsi" w:cstheme="minorHAnsi"/>
          <w:color w:val="auto"/>
          <w:sz w:val="22"/>
          <w:szCs w:val="22"/>
        </w:rPr>
        <w:t xml:space="preserve">Dodatkowo, łącznie z celami, o których mowa w pkt 1, z zastrzeżeniem pkt </w:t>
      </w:r>
      <w:r w:rsidR="000D70A3" w:rsidRPr="00B54F04">
        <w:rPr>
          <w:rFonts w:asciiTheme="minorHAnsi" w:hAnsiTheme="minorHAnsi" w:cstheme="minorHAnsi"/>
          <w:color w:val="auto"/>
          <w:sz w:val="22"/>
          <w:szCs w:val="22"/>
        </w:rPr>
        <w:t>3</w:t>
      </w:r>
      <w:r w:rsidRPr="00B54F04">
        <w:rPr>
          <w:rFonts w:asciiTheme="minorHAnsi" w:hAnsiTheme="minorHAnsi" w:cstheme="minorHAnsi"/>
          <w:color w:val="auto"/>
          <w:sz w:val="22"/>
          <w:szCs w:val="22"/>
        </w:rPr>
        <w:t>, Jednostkowa Pożyczka może finansować:</w:t>
      </w:r>
    </w:p>
    <w:p w14:paraId="6D8A1DDC" w14:textId="1B38AD60" w:rsidR="001E62CC" w:rsidRPr="00B54F04" w:rsidRDefault="001E62CC" w:rsidP="00CF7820">
      <w:pPr>
        <w:pStyle w:val="Default"/>
        <w:spacing w:before="120" w:after="120" w:line="276" w:lineRule="auto"/>
        <w:ind w:left="1361" w:hanging="357"/>
        <w:rPr>
          <w:rFonts w:asciiTheme="minorHAnsi" w:hAnsiTheme="minorHAnsi" w:cstheme="minorHAnsi"/>
          <w:color w:val="auto"/>
          <w:sz w:val="22"/>
          <w:szCs w:val="22"/>
        </w:rPr>
      </w:pPr>
      <w:r w:rsidRPr="00B54F04">
        <w:rPr>
          <w:rFonts w:asciiTheme="minorHAnsi" w:hAnsiTheme="minorHAnsi" w:cstheme="minorHAnsi"/>
          <w:color w:val="auto"/>
          <w:sz w:val="22"/>
          <w:szCs w:val="22"/>
        </w:rPr>
        <w:t>a)</w:t>
      </w:r>
      <w:r w:rsidRPr="00B54F04">
        <w:rPr>
          <w:rFonts w:asciiTheme="minorHAnsi" w:hAnsiTheme="minorHAnsi" w:cstheme="minorHAnsi"/>
          <w:color w:val="auto"/>
          <w:sz w:val="22"/>
          <w:szCs w:val="22"/>
        </w:rPr>
        <w:tab/>
        <w:t xml:space="preserve">dodatkowe elementy, jeżeli realizują szersze cele Polityki Spójności (np. utworzenie punktów ładowania pojazdów, </w:t>
      </w:r>
      <w:hyperlink r:id="rId10" w:history="1">
        <w:r w:rsidR="00603E37" w:rsidRPr="00B54F04">
          <w:rPr>
            <w:rStyle w:val="Hipercze"/>
            <w:rFonts w:asciiTheme="minorHAnsi" w:hAnsiTheme="minorHAnsi" w:cstheme="minorHAnsi"/>
            <w:color w:val="auto"/>
            <w:sz w:val="22"/>
            <w:szCs w:val="22"/>
          </w:rPr>
          <w:t>zielonej infrastruktury</w:t>
        </w:r>
      </w:hyperlink>
      <w:r w:rsidR="00603E37" w:rsidRPr="00B54F04">
        <w:rPr>
          <w:rFonts w:asciiTheme="minorHAnsi" w:hAnsiTheme="minorHAnsi" w:cstheme="minorHAnsi"/>
          <w:color w:val="auto"/>
          <w:sz w:val="22"/>
          <w:szCs w:val="22"/>
        </w:rPr>
        <w:t xml:space="preserve"> </w:t>
      </w:r>
      <w:r w:rsidR="00851C81">
        <w:rPr>
          <w:rFonts w:asciiTheme="minorHAnsi" w:hAnsiTheme="minorHAnsi" w:cstheme="minorHAnsi"/>
          <w:color w:val="auto"/>
          <w:sz w:val="22"/>
          <w:szCs w:val="22"/>
          <w:vertAlign w:val="superscript"/>
        </w:rPr>
        <w:t>1</w:t>
      </w:r>
      <w:r w:rsidR="00603E37" w:rsidRPr="00B54F04">
        <w:rPr>
          <w:rFonts w:asciiTheme="minorHAnsi" w:hAnsiTheme="minorHAnsi" w:cstheme="minorHAnsi"/>
          <w:color w:val="auto"/>
          <w:sz w:val="22"/>
          <w:szCs w:val="22"/>
          <w:vertAlign w:val="superscript"/>
        </w:rPr>
        <w:t xml:space="preserve"> </w:t>
      </w:r>
      <w:r w:rsidR="00603E37" w:rsidRPr="00B54F04">
        <w:rPr>
          <w:rFonts w:asciiTheme="minorHAnsi" w:hAnsiTheme="minorHAnsi" w:cstheme="minorHAnsi"/>
          <w:color w:val="auto"/>
          <w:sz w:val="22"/>
          <w:szCs w:val="22"/>
        </w:rPr>
        <w:t xml:space="preserve">oraz </w:t>
      </w:r>
      <w:hyperlink r:id="rId11" w:history="1">
        <w:r w:rsidR="00603E37" w:rsidRPr="00B54F04">
          <w:rPr>
            <w:rStyle w:val="Hipercze"/>
            <w:rFonts w:asciiTheme="minorHAnsi" w:hAnsiTheme="minorHAnsi" w:cstheme="minorHAnsi"/>
            <w:color w:val="auto"/>
            <w:sz w:val="22"/>
            <w:szCs w:val="22"/>
          </w:rPr>
          <w:t>zielono-niebieskiej infrastruktury</w:t>
        </w:r>
      </w:hyperlink>
      <w:r w:rsidRPr="00B54F04">
        <w:rPr>
          <w:rFonts w:asciiTheme="minorHAnsi" w:hAnsiTheme="minorHAnsi" w:cstheme="minorHAnsi"/>
          <w:color w:val="auto"/>
          <w:sz w:val="22"/>
          <w:szCs w:val="22"/>
        </w:rPr>
        <w:t>)</w:t>
      </w:r>
      <w:r w:rsidR="00C65CC1" w:rsidRPr="00B54F04">
        <w:rPr>
          <w:rFonts w:asciiTheme="minorHAnsi" w:hAnsiTheme="minorHAnsi" w:cstheme="minorHAnsi"/>
          <w:color w:val="auto"/>
          <w:sz w:val="22"/>
          <w:szCs w:val="22"/>
        </w:rPr>
        <w:t>,</w:t>
      </w:r>
      <w:r w:rsidRPr="00B54F04">
        <w:rPr>
          <w:rFonts w:asciiTheme="minorHAnsi" w:hAnsiTheme="minorHAnsi" w:cstheme="minorHAnsi"/>
          <w:color w:val="auto"/>
          <w:sz w:val="22"/>
          <w:szCs w:val="22"/>
        </w:rPr>
        <w:t xml:space="preserve"> </w:t>
      </w:r>
    </w:p>
    <w:p w14:paraId="27A0C816" w14:textId="2B99A2D8" w:rsidR="001E62CC" w:rsidRPr="00B54F04" w:rsidRDefault="001E62CC" w:rsidP="00503E80">
      <w:pPr>
        <w:pStyle w:val="Default"/>
        <w:spacing w:before="120" w:after="120" w:line="276" w:lineRule="auto"/>
        <w:ind w:left="1361" w:hanging="357"/>
        <w:rPr>
          <w:rFonts w:asciiTheme="minorHAnsi" w:hAnsiTheme="minorHAnsi" w:cstheme="minorHAnsi"/>
          <w:color w:val="auto"/>
          <w:sz w:val="22"/>
          <w:szCs w:val="22"/>
        </w:rPr>
      </w:pPr>
      <w:r w:rsidRPr="00B54F04">
        <w:rPr>
          <w:rFonts w:asciiTheme="minorHAnsi" w:hAnsiTheme="minorHAnsi" w:cstheme="minorHAnsi"/>
          <w:color w:val="auto"/>
          <w:sz w:val="22"/>
          <w:szCs w:val="22"/>
        </w:rPr>
        <w:t>b)</w:t>
      </w:r>
      <w:r w:rsidRPr="00B54F04">
        <w:rPr>
          <w:rFonts w:asciiTheme="minorHAnsi" w:hAnsiTheme="minorHAnsi" w:cstheme="minorHAnsi"/>
          <w:color w:val="auto"/>
          <w:sz w:val="22"/>
          <w:szCs w:val="22"/>
        </w:rPr>
        <w:tab/>
        <w:t>Analizę Wykonalności</w:t>
      </w:r>
      <w:r w:rsidR="00503E80" w:rsidRPr="00503E80">
        <w:rPr>
          <w:rFonts w:asciiTheme="minorHAnsi" w:hAnsiTheme="minorHAnsi" w:cstheme="minorHAnsi"/>
          <w:color w:val="000000" w:themeColor="text1"/>
          <w:sz w:val="22"/>
          <w:szCs w:val="22"/>
        </w:rPr>
        <w:t xml:space="preserve"> </w:t>
      </w:r>
      <w:r w:rsidR="00503E80" w:rsidRPr="00503E80">
        <w:rPr>
          <w:rFonts w:asciiTheme="minorHAnsi" w:hAnsiTheme="minorHAnsi" w:cstheme="minorHAnsi"/>
          <w:color w:val="auto"/>
          <w:sz w:val="22"/>
          <w:szCs w:val="22"/>
        </w:rPr>
        <w:t>wraz z dokumentacją techniczną niezbędną do realizacji Inwestycji Końcowej.</w:t>
      </w:r>
    </w:p>
    <w:p w14:paraId="418F70E8" w14:textId="0EA122AA" w:rsidR="001327AA" w:rsidRPr="00B54F04" w:rsidRDefault="001327AA" w:rsidP="00211D31">
      <w:pPr>
        <w:pStyle w:val="Default"/>
        <w:numPr>
          <w:ilvl w:val="0"/>
          <w:numId w:val="1"/>
        </w:numPr>
        <w:spacing w:before="120" w:after="120" w:line="276" w:lineRule="auto"/>
        <w:ind w:left="284" w:hanging="218"/>
        <w:rPr>
          <w:rFonts w:asciiTheme="minorHAnsi" w:hAnsiTheme="minorHAnsi" w:cstheme="minorHAnsi"/>
          <w:color w:val="auto"/>
          <w:sz w:val="22"/>
          <w:szCs w:val="22"/>
        </w:rPr>
      </w:pPr>
      <w:r w:rsidRPr="00B54F04">
        <w:rPr>
          <w:rFonts w:asciiTheme="minorHAnsi" w:hAnsiTheme="minorHAnsi" w:cstheme="minorHAnsi"/>
          <w:color w:val="auto"/>
          <w:sz w:val="22"/>
          <w:szCs w:val="22"/>
        </w:rPr>
        <w:t xml:space="preserve">Wydatki na cele określone w pkt </w:t>
      </w:r>
      <w:r w:rsidR="00134872" w:rsidRPr="00B54F04">
        <w:rPr>
          <w:rFonts w:asciiTheme="minorHAnsi" w:hAnsiTheme="minorHAnsi" w:cstheme="minorHAnsi"/>
          <w:color w:val="auto"/>
          <w:sz w:val="22"/>
          <w:szCs w:val="22"/>
        </w:rPr>
        <w:t>2</w:t>
      </w:r>
      <w:r w:rsidR="0030757D" w:rsidRPr="00B54F04">
        <w:rPr>
          <w:rFonts w:asciiTheme="minorHAnsi" w:hAnsiTheme="minorHAnsi" w:cstheme="minorHAnsi"/>
          <w:color w:val="auto"/>
          <w:sz w:val="22"/>
          <w:szCs w:val="22"/>
        </w:rPr>
        <w:t xml:space="preserve"> </w:t>
      </w:r>
      <w:r w:rsidR="00C40886" w:rsidRPr="00B54F04">
        <w:rPr>
          <w:rFonts w:asciiTheme="minorHAnsi" w:hAnsiTheme="minorHAnsi" w:cstheme="minorHAnsi"/>
          <w:color w:val="auto"/>
          <w:sz w:val="22"/>
          <w:szCs w:val="22"/>
        </w:rPr>
        <w:t>lit.</w:t>
      </w:r>
      <w:r w:rsidR="00B054A3" w:rsidRPr="00B54F04">
        <w:rPr>
          <w:rFonts w:asciiTheme="minorHAnsi" w:hAnsiTheme="minorHAnsi" w:cstheme="minorHAnsi"/>
          <w:color w:val="auto"/>
          <w:sz w:val="22"/>
          <w:szCs w:val="22"/>
        </w:rPr>
        <w:t xml:space="preserve"> a)</w:t>
      </w:r>
      <w:r w:rsidR="00C40886" w:rsidRPr="00B54F04">
        <w:rPr>
          <w:rFonts w:asciiTheme="minorHAnsi" w:hAnsiTheme="minorHAnsi" w:cstheme="minorHAnsi"/>
          <w:color w:val="auto"/>
          <w:sz w:val="22"/>
          <w:szCs w:val="22"/>
        </w:rPr>
        <w:t xml:space="preserve"> </w:t>
      </w:r>
      <w:r w:rsidR="00BC03FA" w:rsidRPr="00B54F04">
        <w:rPr>
          <w:rFonts w:asciiTheme="minorHAnsi" w:hAnsiTheme="minorHAnsi" w:cstheme="minorHAnsi"/>
          <w:color w:val="auto"/>
          <w:sz w:val="22"/>
          <w:szCs w:val="22"/>
        </w:rPr>
        <w:t xml:space="preserve">i b) </w:t>
      </w:r>
      <w:r w:rsidRPr="00B54F04">
        <w:rPr>
          <w:rFonts w:asciiTheme="minorHAnsi" w:hAnsiTheme="minorHAnsi" w:cstheme="minorHAnsi"/>
          <w:color w:val="auto"/>
          <w:sz w:val="22"/>
          <w:szCs w:val="22"/>
        </w:rPr>
        <w:t>stanowi</w:t>
      </w:r>
      <w:r w:rsidR="00AD7219" w:rsidRPr="00B54F04">
        <w:rPr>
          <w:rFonts w:asciiTheme="minorHAnsi" w:hAnsiTheme="minorHAnsi" w:cstheme="minorHAnsi"/>
          <w:color w:val="auto"/>
          <w:sz w:val="22"/>
          <w:szCs w:val="22"/>
        </w:rPr>
        <w:t>ą</w:t>
      </w:r>
      <w:r w:rsidRPr="00B54F04">
        <w:rPr>
          <w:rFonts w:asciiTheme="minorHAnsi" w:hAnsiTheme="minorHAnsi" w:cstheme="minorHAnsi"/>
          <w:color w:val="auto"/>
          <w:sz w:val="22"/>
          <w:szCs w:val="22"/>
        </w:rPr>
        <w:t xml:space="preserve"> jedynie dodatkowy element Inwestycji Końcowej </w:t>
      </w:r>
      <w:r w:rsidR="00AD7219" w:rsidRPr="00B54F04">
        <w:rPr>
          <w:rFonts w:asciiTheme="minorHAnsi" w:hAnsiTheme="minorHAnsi" w:cstheme="minorHAnsi"/>
          <w:color w:val="auto"/>
          <w:sz w:val="22"/>
          <w:szCs w:val="22"/>
        </w:rPr>
        <w:t>i</w:t>
      </w:r>
      <w:r w:rsidRPr="00B54F04">
        <w:rPr>
          <w:rFonts w:asciiTheme="minorHAnsi" w:hAnsiTheme="minorHAnsi" w:cstheme="minorHAnsi"/>
          <w:color w:val="auto"/>
          <w:sz w:val="22"/>
          <w:szCs w:val="22"/>
        </w:rPr>
        <w:t xml:space="preserve"> nie </w:t>
      </w:r>
      <w:r w:rsidR="00AD7219" w:rsidRPr="00B54F04">
        <w:rPr>
          <w:rFonts w:asciiTheme="minorHAnsi" w:hAnsiTheme="minorHAnsi" w:cstheme="minorHAnsi"/>
          <w:color w:val="auto"/>
          <w:sz w:val="22"/>
          <w:szCs w:val="22"/>
        </w:rPr>
        <w:t xml:space="preserve">mogą </w:t>
      </w:r>
      <w:r w:rsidRPr="00B54F04">
        <w:rPr>
          <w:rFonts w:asciiTheme="minorHAnsi" w:hAnsiTheme="minorHAnsi" w:cstheme="minorHAnsi"/>
          <w:color w:val="auto"/>
          <w:sz w:val="22"/>
          <w:szCs w:val="22"/>
        </w:rPr>
        <w:t>przekr</w:t>
      </w:r>
      <w:r w:rsidR="00AD7219" w:rsidRPr="00B54F04">
        <w:rPr>
          <w:rFonts w:asciiTheme="minorHAnsi" w:hAnsiTheme="minorHAnsi" w:cstheme="minorHAnsi"/>
          <w:color w:val="auto"/>
          <w:sz w:val="22"/>
          <w:szCs w:val="22"/>
        </w:rPr>
        <w:t>o</w:t>
      </w:r>
      <w:r w:rsidRPr="00B54F04">
        <w:rPr>
          <w:rFonts w:asciiTheme="minorHAnsi" w:hAnsiTheme="minorHAnsi" w:cstheme="minorHAnsi"/>
          <w:color w:val="auto"/>
          <w:sz w:val="22"/>
          <w:szCs w:val="22"/>
        </w:rPr>
        <w:t>cz</w:t>
      </w:r>
      <w:r w:rsidR="00AD7219" w:rsidRPr="00B54F04">
        <w:rPr>
          <w:rFonts w:asciiTheme="minorHAnsi" w:hAnsiTheme="minorHAnsi" w:cstheme="minorHAnsi"/>
          <w:color w:val="auto"/>
          <w:sz w:val="22"/>
          <w:szCs w:val="22"/>
        </w:rPr>
        <w:t>yć</w:t>
      </w:r>
      <w:r w:rsidR="0030757D" w:rsidRPr="00B54F04">
        <w:rPr>
          <w:rFonts w:asciiTheme="minorHAnsi" w:hAnsiTheme="minorHAnsi" w:cstheme="minorHAnsi"/>
          <w:color w:val="auto"/>
          <w:sz w:val="22"/>
          <w:szCs w:val="22"/>
        </w:rPr>
        <w:t xml:space="preserve"> </w:t>
      </w:r>
      <w:r w:rsidR="00BC03FA" w:rsidRPr="00B54F04">
        <w:rPr>
          <w:rFonts w:asciiTheme="minorHAnsi" w:hAnsiTheme="minorHAnsi" w:cstheme="minorHAnsi"/>
          <w:color w:val="auto"/>
          <w:sz w:val="22"/>
          <w:szCs w:val="22"/>
        </w:rPr>
        <w:t xml:space="preserve">łącznie </w:t>
      </w:r>
      <w:r w:rsidR="0028013F" w:rsidRPr="00B54F04">
        <w:rPr>
          <w:rFonts w:asciiTheme="minorHAnsi" w:hAnsiTheme="minorHAnsi" w:cstheme="minorHAnsi"/>
          <w:color w:val="auto"/>
          <w:sz w:val="22"/>
          <w:szCs w:val="22"/>
        </w:rPr>
        <w:t>15</w:t>
      </w:r>
      <w:r w:rsidRPr="00B54F04">
        <w:rPr>
          <w:rFonts w:asciiTheme="minorHAnsi" w:hAnsiTheme="minorHAnsi" w:cstheme="minorHAnsi"/>
          <w:color w:val="auto"/>
          <w:sz w:val="22"/>
          <w:szCs w:val="22"/>
        </w:rPr>
        <w:t>% kwoty Jednostkowej Pożyczki</w:t>
      </w:r>
      <w:r w:rsidR="00BC03FA" w:rsidRPr="00B54F04">
        <w:rPr>
          <w:rFonts w:asciiTheme="minorHAnsi" w:hAnsiTheme="minorHAnsi" w:cstheme="minorHAnsi"/>
          <w:color w:val="auto"/>
          <w:sz w:val="22"/>
          <w:szCs w:val="22"/>
        </w:rPr>
        <w:t xml:space="preserve">, </w:t>
      </w:r>
      <w:r w:rsidR="00934747" w:rsidRPr="00B54F04">
        <w:rPr>
          <w:rFonts w:asciiTheme="minorHAnsi" w:hAnsiTheme="minorHAnsi" w:cstheme="minorHAnsi"/>
          <w:color w:val="auto"/>
          <w:sz w:val="22"/>
          <w:szCs w:val="22"/>
        </w:rPr>
        <w:t>w tym wydatki na cele określone w pkt 2 lit. b) mogą wynosić do 3% kwoty Jednostkowej Pożyczki</w:t>
      </w:r>
      <w:r w:rsidRPr="00B54F04">
        <w:rPr>
          <w:rFonts w:asciiTheme="minorHAnsi" w:hAnsiTheme="minorHAnsi" w:cstheme="minorHAnsi"/>
          <w:color w:val="auto"/>
          <w:sz w:val="22"/>
          <w:szCs w:val="22"/>
        </w:rPr>
        <w:t>.</w:t>
      </w:r>
    </w:p>
    <w:p w14:paraId="726F5972" w14:textId="5BE499F2" w:rsidR="00F255D6" w:rsidRPr="00B54F04" w:rsidRDefault="00C319E8" w:rsidP="00211D31">
      <w:pPr>
        <w:pStyle w:val="Default"/>
        <w:numPr>
          <w:ilvl w:val="0"/>
          <w:numId w:val="1"/>
        </w:numPr>
        <w:spacing w:before="120" w:after="120" w:line="276" w:lineRule="auto"/>
        <w:ind w:left="284" w:hanging="218"/>
        <w:rPr>
          <w:rFonts w:asciiTheme="minorHAnsi" w:hAnsiTheme="minorHAnsi" w:cstheme="minorHAnsi"/>
          <w:color w:val="auto"/>
          <w:sz w:val="22"/>
          <w:szCs w:val="22"/>
        </w:rPr>
      </w:pPr>
      <w:r w:rsidRPr="00B54F04">
        <w:rPr>
          <w:rFonts w:asciiTheme="minorHAnsi" w:hAnsiTheme="minorHAnsi" w:cstheme="minorHAnsi"/>
          <w:color w:val="auto"/>
          <w:sz w:val="22"/>
          <w:szCs w:val="22"/>
        </w:rPr>
        <w:t>Jednostkowe Pożyczki udzielane są wyłącznie na te elementy Inwestycji Końcowej, które nie są fizycznie ukończone lub w pełni wdrożone na dzień podjęcia decyzji inwestycyjnej przez Partnera Finansującego. Pod pojęciem decyzji inwestycyjnej należy rozumieć okoliczności wskazane w sekcji 3.9.2 pkt. 2 Wytycznych dotyczących kwalifikowalności wydatków na lata 2021 - 2027.</w:t>
      </w:r>
    </w:p>
    <w:p w14:paraId="36D920D8" w14:textId="3C76944B" w:rsidR="00C319E8" w:rsidRPr="00B54F04" w:rsidRDefault="00C319E8" w:rsidP="00211D31">
      <w:pPr>
        <w:pStyle w:val="Default"/>
        <w:numPr>
          <w:ilvl w:val="0"/>
          <w:numId w:val="1"/>
        </w:numPr>
        <w:spacing w:before="120" w:after="120" w:line="276" w:lineRule="auto"/>
        <w:ind w:left="284" w:hanging="218"/>
        <w:rPr>
          <w:rFonts w:asciiTheme="minorHAnsi" w:hAnsiTheme="minorHAnsi" w:cstheme="minorHAnsi"/>
          <w:color w:val="auto"/>
          <w:sz w:val="22"/>
          <w:szCs w:val="22"/>
        </w:rPr>
      </w:pPr>
      <w:r w:rsidRPr="00B54F04">
        <w:rPr>
          <w:rFonts w:asciiTheme="minorHAnsi" w:hAnsiTheme="minorHAnsi" w:cstheme="minorHAnsi"/>
          <w:color w:val="auto"/>
          <w:sz w:val="22"/>
          <w:szCs w:val="22"/>
        </w:rPr>
        <w:lastRenderedPageBreak/>
        <w:t xml:space="preserve">Dokumentacja aplikacyjna złożona przez podmiot ubiegający się o Jednostkową Pożyczkę, w tym Wniosek, </w:t>
      </w:r>
      <w:r w:rsidR="00AA7718" w:rsidRPr="00B54F04">
        <w:rPr>
          <w:rFonts w:asciiTheme="minorHAnsi" w:hAnsiTheme="minorHAnsi" w:cstheme="minorHAnsi"/>
          <w:color w:val="auto"/>
          <w:sz w:val="22"/>
          <w:szCs w:val="22"/>
        </w:rPr>
        <w:t>Analiza Wykonalności</w:t>
      </w:r>
      <w:r w:rsidRPr="00B54F04">
        <w:rPr>
          <w:rFonts w:asciiTheme="minorHAnsi" w:hAnsiTheme="minorHAnsi" w:cstheme="minorHAnsi"/>
          <w:color w:val="auto"/>
          <w:sz w:val="22"/>
          <w:szCs w:val="22"/>
        </w:rPr>
        <w:t xml:space="preserve"> lub </w:t>
      </w:r>
      <w:r w:rsidR="00D24897" w:rsidRPr="00B54F04">
        <w:rPr>
          <w:rFonts w:asciiTheme="minorHAnsi" w:hAnsiTheme="minorHAnsi" w:cstheme="minorHAnsi"/>
          <w:color w:val="auto"/>
          <w:sz w:val="22"/>
          <w:szCs w:val="22"/>
        </w:rPr>
        <w:t xml:space="preserve">inne </w:t>
      </w:r>
      <w:r w:rsidRPr="00B54F04">
        <w:rPr>
          <w:rFonts w:asciiTheme="minorHAnsi" w:hAnsiTheme="minorHAnsi" w:cstheme="minorHAnsi"/>
          <w:color w:val="auto"/>
          <w:sz w:val="22"/>
          <w:szCs w:val="22"/>
        </w:rPr>
        <w:t>dokument</w:t>
      </w:r>
      <w:r w:rsidR="00D24897" w:rsidRPr="00B54F04">
        <w:rPr>
          <w:rFonts w:asciiTheme="minorHAnsi" w:hAnsiTheme="minorHAnsi" w:cstheme="minorHAnsi"/>
          <w:color w:val="auto"/>
          <w:sz w:val="22"/>
          <w:szCs w:val="22"/>
        </w:rPr>
        <w:t>y</w:t>
      </w:r>
      <w:r w:rsidRPr="00B54F04">
        <w:rPr>
          <w:rFonts w:asciiTheme="minorHAnsi" w:hAnsiTheme="minorHAnsi" w:cstheme="minorHAnsi"/>
          <w:color w:val="auto"/>
          <w:sz w:val="22"/>
          <w:szCs w:val="22"/>
        </w:rPr>
        <w:t xml:space="preserve"> </w:t>
      </w:r>
      <w:r w:rsidR="00D24897" w:rsidRPr="00B54F04">
        <w:rPr>
          <w:rFonts w:asciiTheme="minorHAnsi" w:hAnsiTheme="minorHAnsi" w:cstheme="minorHAnsi"/>
          <w:color w:val="auto"/>
          <w:sz w:val="22"/>
          <w:szCs w:val="22"/>
        </w:rPr>
        <w:t>składane wraz z Wnioskiem</w:t>
      </w:r>
      <w:r w:rsidRPr="00B54F04">
        <w:rPr>
          <w:rFonts w:asciiTheme="minorHAnsi" w:hAnsiTheme="minorHAnsi" w:cstheme="minorHAnsi"/>
          <w:color w:val="auto"/>
          <w:sz w:val="22"/>
          <w:szCs w:val="22"/>
        </w:rPr>
        <w:t xml:space="preserve">, powinna jednoznacznie wskazywać na </w:t>
      </w:r>
      <w:r w:rsidR="00D24897" w:rsidRPr="00B54F04">
        <w:rPr>
          <w:rFonts w:asciiTheme="minorHAnsi" w:hAnsiTheme="minorHAnsi" w:cstheme="minorHAnsi"/>
          <w:color w:val="auto"/>
          <w:sz w:val="22"/>
          <w:szCs w:val="22"/>
        </w:rPr>
        <w:t>T</w:t>
      </w:r>
      <w:r w:rsidRPr="00B54F04">
        <w:rPr>
          <w:rFonts w:asciiTheme="minorHAnsi" w:hAnsiTheme="minorHAnsi" w:cstheme="minorHAnsi"/>
          <w:color w:val="auto"/>
          <w:sz w:val="22"/>
          <w:szCs w:val="22"/>
        </w:rPr>
        <w:t xml:space="preserve">yp Inwestycji Końcowej będący przedmiotem finansowania oraz powinna być przygotowana w sposób umożliwiający Partnerowi Finansującemu dokonanie oceny zgodności przedmiotu i celu planowanej Inwestycji Końcowej z tym </w:t>
      </w:r>
      <w:r w:rsidR="00D24897" w:rsidRPr="00B54F04">
        <w:rPr>
          <w:rFonts w:asciiTheme="minorHAnsi" w:hAnsiTheme="minorHAnsi" w:cstheme="minorHAnsi"/>
          <w:color w:val="auto"/>
          <w:sz w:val="22"/>
          <w:szCs w:val="22"/>
        </w:rPr>
        <w:t>T</w:t>
      </w:r>
      <w:r w:rsidRPr="00B54F04">
        <w:rPr>
          <w:rFonts w:asciiTheme="minorHAnsi" w:hAnsiTheme="minorHAnsi" w:cstheme="minorHAnsi"/>
          <w:color w:val="auto"/>
          <w:sz w:val="22"/>
          <w:szCs w:val="22"/>
        </w:rPr>
        <w:t>ypem</w:t>
      </w:r>
      <w:r w:rsidR="00D24897" w:rsidRPr="00B54F04">
        <w:rPr>
          <w:rFonts w:asciiTheme="minorHAnsi" w:hAnsiTheme="minorHAnsi" w:cstheme="minorHAnsi"/>
          <w:color w:val="auto"/>
          <w:sz w:val="22"/>
          <w:szCs w:val="22"/>
        </w:rPr>
        <w:t xml:space="preserve"> Inwestycji Ko</w:t>
      </w:r>
      <w:r w:rsidR="00085C7B" w:rsidRPr="00B54F04">
        <w:rPr>
          <w:rFonts w:asciiTheme="minorHAnsi" w:hAnsiTheme="minorHAnsi" w:cstheme="minorHAnsi"/>
          <w:color w:val="auto"/>
          <w:sz w:val="22"/>
          <w:szCs w:val="22"/>
        </w:rPr>
        <w:t>ń</w:t>
      </w:r>
      <w:r w:rsidR="00D24897" w:rsidRPr="00B54F04">
        <w:rPr>
          <w:rFonts w:asciiTheme="minorHAnsi" w:hAnsiTheme="minorHAnsi" w:cstheme="minorHAnsi"/>
          <w:color w:val="auto"/>
          <w:sz w:val="22"/>
          <w:szCs w:val="22"/>
        </w:rPr>
        <w:t>cowej</w:t>
      </w:r>
      <w:r w:rsidRPr="00B54F04">
        <w:rPr>
          <w:rFonts w:asciiTheme="minorHAnsi" w:hAnsiTheme="minorHAnsi" w:cstheme="minorHAnsi"/>
          <w:color w:val="auto"/>
          <w:sz w:val="22"/>
          <w:szCs w:val="22"/>
        </w:rPr>
        <w:t>.</w:t>
      </w:r>
    </w:p>
    <w:p w14:paraId="6DFB9FDA" w14:textId="3B584E66" w:rsidR="00C319E8" w:rsidRPr="00B54F04" w:rsidRDefault="00C319E8" w:rsidP="00211D31">
      <w:pPr>
        <w:pStyle w:val="Default"/>
        <w:numPr>
          <w:ilvl w:val="0"/>
          <w:numId w:val="1"/>
        </w:numPr>
        <w:spacing w:before="120" w:after="120" w:line="276" w:lineRule="auto"/>
        <w:ind w:left="284" w:hanging="218"/>
        <w:rPr>
          <w:rFonts w:asciiTheme="minorHAnsi" w:hAnsiTheme="minorHAnsi" w:cstheme="minorHAnsi"/>
          <w:color w:val="auto"/>
          <w:sz w:val="22"/>
          <w:szCs w:val="22"/>
        </w:rPr>
      </w:pPr>
      <w:r w:rsidRPr="00B54F04">
        <w:rPr>
          <w:rFonts w:asciiTheme="minorHAnsi" w:hAnsiTheme="minorHAnsi" w:cstheme="minorHAnsi"/>
          <w:color w:val="auto"/>
          <w:sz w:val="22"/>
          <w:szCs w:val="22"/>
        </w:rPr>
        <w:t xml:space="preserve">W przypadku zamiaru zmiany zakresu rzeczowego Inwestycji Końcowej, o ile zmiana ta jest zgodna z pierwotnie wskazanym </w:t>
      </w:r>
      <w:r w:rsidR="00D24897" w:rsidRPr="00B54F04">
        <w:rPr>
          <w:rFonts w:asciiTheme="minorHAnsi" w:hAnsiTheme="minorHAnsi" w:cstheme="minorHAnsi"/>
          <w:color w:val="auto"/>
          <w:sz w:val="22"/>
          <w:szCs w:val="22"/>
        </w:rPr>
        <w:t>T</w:t>
      </w:r>
      <w:r w:rsidRPr="00B54F04">
        <w:rPr>
          <w:rFonts w:asciiTheme="minorHAnsi" w:hAnsiTheme="minorHAnsi" w:cstheme="minorHAnsi"/>
          <w:color w:val="auto"/>
          <w:sz w:val="22"/>
          <w:szCs w:val="22"/>
        </w:rPr>
        <w:t>ypem Inwestycji Końcowej, Ostateczny Odbiorca składa stosowny wniosek o akceptację zmiany, a Partner Finansujący zobowiązany jest taki wniosek rozpatrzyć. Jeżeli zmianą objęta jest rzecz lub usługa wyszczególniona w Umowie Inwestycyjnej, zmiana taka dokonywana jest w formie aneksu do Umowy Inwestycyjnej.</w:t>
      </w:r>
    </w:p>
    <w:p w14:paraId="7F7E6E07" w14:textId="77777777" w:rsidR="00C319E8" w:rsidRPr="00B54F04" w:rsidRDefault="00C319E8" w:rsidP="00211D31">
      <w:pPr>
        <w:pStyle w:val="Default"/>
        <w:numPr>
          <w:ilvl w:val="0"/>
          <w:numId w:val="1"/>
        </w:numPr>
        <w:spacing w:before="120" w:after="120" w:line="276" w:lineRule="auto"/>
        <w:ind w:left="284" w:hanging="218"/>
        <w:rPr>
          <w:rFonts w:asciiTheme="minorHAnsi" w:hAnsiTheme="minorHAnsi" w:cstheme="minorHAnsi"/>
          <w:color w:val="auto"/>
          <w:sz w:val="22"/>
          <w:szCs w:val="22"/>
        </w:rPr>
      </w:pPr>
      <w:r w:rsidRPr="00B54F04">
        <w:rPr>
          <w:rFonts w:asciiTheme="minorHAnsi" w:hAnsiTheme="minorHAnsi" w:cstheme="minorHAnsi"/>
          <w:color w:val="auto"/>
          <w:sz w:val="22"/>
          <w:szCs w:val="22"/>
        </w:rPr>
        <w:t xml:space="preserve">Jednostkowa Pożyczka może finansować do 100% wydatków w ramach Inwestycji Końcowej. Wydatki niekwalifikowalne w ramach Inwestycji Końcowej, tj. takie które nie mogą być finansowane z Jednostkowej Pożyczki, są finansowane przez Ostatecznego Odbiorcę. </w:t>
      </w:r>
    </w:p>
    <w:p w14:paraId="304FED8B" w14:textId="7DD0D30C" w:rsidR="00C319E8" w:rsidRPr="00B54F04" w:rsidRDefault="00C319E8" w:rsidP="00F64AF9">
      <w:pPr>
        <w:pStyle w:val="Akapitzlist"/>
        <w:numPr>
          <w:ilvl w:val="0"/>
          <w:numId w:val="1"/>
        </w:numPr>
        <w:autoSpaceDE w:val="0"/>
        <w:autoSpaceDN w:val="0"/>
        <w:adjustRightInd w:val="0"/>
        <w:spacing w:before="120" w:after="120"/>
        <w:ind w:left="284" w:hanging="284"/>
        <w:contextualSpacing w:val="0"/>
        <w:rPr>
          <w:rFonts w:asciiTheme="minorHAnsi" w:hAnsiTheme="minorHAnsi" w:cstheme="minorHAnsi"/>
          <w:lang w:eastAsia="pl-PL"/>
        </w:rPr>
      </w:pPr>
      <w:r w:rsidRPr="00B54F04">
        <w:rPr>
          <w:rFonts w:asciiTheme="minorHAnsi" w:hAnsiTheme="minorHAnsi" w:cstheme="minorHAnsi"/>
          <w:lang w:eastAsia="pl-PL"/>
        </w:rPr>
        <w:t xml:space="preserve">Jednostkowa Pożyczka finansuje wydatki w kwotach brutto, tj. z podatkiem VAT, z zastrzeżeniem pkt </w:t>
      </w:r>
      <w:r w:rsidR="00297FB4">
        <w:rPr>
          <w:rFonts w:asciiTheme="minorHAnsi" w:hAnsiTheme="minorHAnsi" w:cstheme="minorHAnsi"/>
          <w:lang w:eastAsia="pl-PL"/>
        </w:rPr>
        <w:t>9</w:t>
      </w:r>
      <w:r w:rsidR="00297FB4" w:rsidRPr="00B54F04">
        <w:rPr>
          <w:rFonts w:asciiTheme="minorHAnsi" w:hAnsiTheme="minorHAnsi" w:cstheme="minorHAnsi"/>
          <w:lang w:eastAsia="pl-PL"/>
        </w:rPr>
        <w:t xml:space="preserve"> </w:t>
      </w:r>
      <w:r w:rsidRPr="00B54F04">
        <w:rPr>
          <w:rFonts w:asciiTheme="minorHAnsi" w:hAnsiTheme="minorHAnsi" w:cstheme="minorHAnsi"/>
          <w:lang w:eastAsia="pl-PL"/>
        </w:rPr>
        <w:t>i 1</w:t>
      </w:r>
      <w:r w:rsidR="00297FB4">
        <w:rPr>
          <w:rFonts w:asciiTheme="minorHAnsi" w:hAnsiTheme="minorHAnsi" w:cstheme="minorHAnsi"/>
          <w:lang w:eastAsia="pl-PL"/>
        </w:rPr>
        <w:t>0</w:t>
      </w:r>
      <w:r w:rsidRPr="00B54F04">
        <w:rPr>
          <w:rFonts w:asciiTheme="minorHAnsi" w:hAnsiTheme="minorHAnsi" w:cstheme="minorHAnsi"/>
          <w:lang w:eastAsia="pl-PL"/>
        </w:rPr>
        <w:t>.</w:t>
      </w:r>
    </w:p>
    <w:p w14:paraId="0558AFA9" w14:textId="77777777" w:rsidR="00C319E8" w:rsidRPr="00B54F04" w:rsidRDefault="00C319E8" w:rsidP="00F64AF9">
      <w:pPr>
        <w:pStyle w:val="Akapitzlist"/>
        <w:numPr>
          <w:ilvl w:val="0"/>
          <w:numId w:val="1"/>
        </w:numPr>
        <w:autoSpaceDE w:val="0"/>
        <w:autoSpaceDN w:val="0"/>
        <w:adjustRightInd w:val="0"/>
        <w:spacing w:before="120" w:after="120"/>
        <w:ind w:left="284" w:hanging="284"/>
        <w:contextualSpacing w:val="0"/>
        <w:rPr>
          <w:rFonts w:asciiTheme="minorHAnsi" w:hAnsiTheme="minorHAnsi" w:cstheme="minorHAnsi"/>
          <w:lang w:eastAsia="pl-PL"/>
        </w:rPr>
      </w:pPr>
      <w:r w:rsidRPr="00B54F04">
        <w:rPr>
          <w:rFonts w:asciiTheme="minorHAnsi" w:hAnsiTheme="minorHAnsi" w:cstheme="minorHAnsi"/>
          <w:lang w:eastAsia="pl-PL"/>
        </w:rPr>
        <w:t>Dopuszczalność finansowania podatku VAT w ramach Jednostkowych Pożyczek może podlegać dodatkowym ograniczeniom wynikającym z zasad udzielania pomocy publicznej.</w:t>
      </w:r>
    </w:p>
    <w:p w14:paraId="3657A8C8" w14:textId="77777777" w:rsidR="00C319E8" w:rsidRPr="00B54F04" w:rsidRDefault="00C319E8" w:rsidP="00F64AF9">
      <w:pPr>
        <w:pStyle w:val="Akapitzlist"/>
        <w:numPr>
          <w:ilvl w:val="0"/>
          <w:numId w:val="1"/>
        </w:numPr>
        <w:autoSpaceDE w:val="0"/>
        <w:autoSpaceDN w:val="0"/>
        <w:adjustRightInd w:val="0"/>
        <w:spacing w:before="120" w:after="120"/>
        <w:ind w:left="284" w:hanging="284"/>
        <w:contextualSpacing w:val="0"/>
        <w:rPr>
          <w:rFonts w:asciiTheme="minorHAnsi" w:hAnsiTheme="minorHAnsi" w:cstheme="minorHAnsi"/>
          <w:lang w:eastAsia="pl-PL"/>
        </w:rPr>
      </w:pPr>
      <w:r w:rsidRPr="00B54F04">
        <w:rPr>
          <w:rFonts w:asciiTheme="minorHAnsi" w:hAnsiTheme="minorHAnsi" w:cstheme="minorHAnsi"/>
          <w:lang w:eastAsia="pl-PL"/>
        </w:rPr>
        <w:t>W przypadku łączenia Jednostkowych Pożyczek z innym finansowaniem, należy przestrzegać zasad określonych w sekcji 3.9.3 Wytycznych dotyczących kwalifikowalności wydatków na lata 2021 - 2027 oraz właściwych przepisów dotyczących pomocy publicznej.</w:t>
      </w:r>
    </w:p>
    <w:p w14:paraId="399B5D8C" w14:textId="60E9A5B6" w:rsidR="005601E6" w:rsidRPr="00B54F04" w:rsidRDefault="005601E6" w:rsidP="00264310">
      <w:pPr>
        <w:pStyle w:val="Nagwek1"/>
        <w:spacing w:after="240"/>
        <w:jc w:val="both"/>
        <w:rPr>
          <w:color w:val="auto"/>
        </w:rPr>
      </w:pPr>
      <w:r w:rsidRPr="00B54F04">
        <w:rPr>
          <w:color w:val="auto"/>
        </w:rPr>
        <w:t xml:space="preserve">Część </w:t>
      </w:r>
      <w:r w:rsidR="00297FB4">
        <w:rPr>
          <w:color w:val="auto"/>
        </w:rPr>
        <w:t>I</w:t>
      </w:r>
      <w:r w:rsidRPr="00B54F04">
        <w:rPr>
          <w:color w:val="auto"/>
        </w:rPr>
        <w:t xml:space="preserve">V Wymogi dotyczące Inwestycji Końcowych </w:t>
      </w:r>
    </w:p>
    <w:p w14:paraId="3C134BB3" w14:textId="4A4346AF" w:rsidR="00C27ADA" w:rsidRPr="00B54F04" w:rsidRDefault="00C27ADA" w:rsidP="00CF7820">
      <w:pPr>
        <w:pStyle w:val="Akapitzlist"/>
        <w:numPr>
          <w:ilvl w:val="0"/>
          <w:numId w:val="20"/>
        </w:numPr>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 xml:space="preserve">Inwestycje Końcowe muszą być realizowane wyłącznie na terenie województwa </w:t>
      </w:r>
      <w:r w:rsidR="003A4780" w:rsidRPr="00B54F04">
        <w:rPr>
          <w:rFonts w:asciiTheme="minorHAnsi" w:hAnsiTheme="minorHAnsi" w:cstheme="minorHAnsi"/>
          <w:lang w:eastAsia="pl-PL"/>
        </w:rPr>
        <w:t>świętokrzyskiego</w:t>
      </w:r>
      <w:r w:rsidRPr="00B54F04">
        <w:rPr>
          <w:rFonts w:asciiTheme="minorHAnsi" w:hAnsiTheme="minorHAnsi" w:cstheme="minorHAnsi"/>
          <w:lang w:eastAsia="pl-PL"/>
        </w:rPr>
        <w:t>.</w:t>
      </w:r>
    </w:p>
    <w:p w14:paraId="37B0EF38" w14:textId="74C49399" w:rsidR="0041639B" w:rsidRPr="00B54F04" w:rsidRDefault="0041639B" w:rsidP="00CF7820">
      <w:pPr>
        <w:pStyle w:val="Akapitzlist"/>
        <w:numPr>
          <w:ilvl w:val="0"/>
          <w:numId w:val="20"/>
        </w:numPr>
        <w:autoSpaceDE w:val="0"/>
        <w:autoSpaceDN w:val="0"/>
        <w:adjustRightInd w:val="0"/>
        <w:spacing w:before="120" w:after="120"/>
        <w:contextualSpacing w:val="0"/>
        <w:rPr>
          <w:rFonts w:asciiTheme="minorHAnsi" w:hAnsiTheme="minorHAnsi" w:cstheme="minorHAnsi"/>
          <w:lang w:eastAsia="ja-JP"/>
        </w:rPr>
      </w:pPr>
      <w:r w:rsidRPr="00B54F04">
        <w:rPr>
          <w:rFonts w:asciiTheme="minorHAnsi" w:hAnsiTheme="minorHAnsi" w:cstheme="minorHAnsi"/>
          <w:lang w:eastAsia="pl-PL"/>
        </w:rPr>
        <w:t>Inwestycje Końcowe muszą spełniać warunki demarkacji, która dotyczy dozwolonej, sumarycznej</w:t>
      </w:r>
      <w:r w:rsidRPr="00B54F04">
        <w:rPr>
          <w:rFonts w:asciiTheme="minorHAnsi" w:hAnsiTheme="minorHAnsi" w:cstheme="minorHAnsi"/>
          <w:lang w:eastAsia="ja-JP"/>
        </w:rPr>
        <w:t xml:space="preserve"> mocy wszystkich jednostek wytwórczych danego rodzaju </w:t>
      </w:r>
      <w:r w:rsidR="000A55A3" w:rsidRPr="00B54F04">
        <w:rPr>
          <w:rFonts w:asciiTheme="minorHAnsi" w:hAnsiTheme="minorHAnsi" w:cstheme="minorHAnsi"/>
          <w:lang w:eastAsia="ja-JP"/>
        </w:rPr>
        <w:t>Odnawialnych Źródeł Energii (</w:t>
      </w:r>
      <w:r w:rsidRPr="00B54F04">
        <w:rPr>
          <w:rFonts w:asciiTheme="minorHAnsi" w:hAnsiTheme="minorHAnsi" w:cstheme="minorHAnsi"/>
          <w:lang w:eastAsia="ja-JP"/>
        </w:rPr>
        <w:t>OZE</w:t>
      </w:r>
      <w:r w:rsidR="000A55A3" w:rsidRPr="00B54F04">
        <w:rPr>
          <w:rFonts w:asciiTheme="minorHAnsi" w:hAnsiTheme="minorHAnsi" w:cstheme="minorHAnsi"/>
          <w:lang w:eastAsia="ja-JP"/>
        </w:rPr>
        <w:t>)</w:t>
      </w:r>
      <w:r w:rsidRPr="00B54F04">
        <w:rPr>
          <w:rFonts w:asciiTheme="minorHAnsi" w:hAnsiTheme="minorHAnsi" w:cstheme="minorHAnsi"/>
          <w:lang w:eastAsia="ja-JP"/>
        </w:rPr>
        <w:t xml:space="preserve"> wchodzącego w zakres Inwestycji Końcowej. </w:t>
      </w:r>
      <w:r w:rsidR="001F0C05" w:rsidRPr="00B54F04">
        <w:rPr>
          <w:rFonts w:asciiTheme="minorHAnsi" w:hAnsiTheme="minorHAnsi" w:cstheme="minorHAnsi"/>
          <w:lang w:eastAsia="ja-JP"/>
        </w:rPr>
        <w:t>M</w:t>
      </w:r>
      <w:r w:rsidRPr="00B54F04">
        <w:rPr>
          <w:rFonts w:asciiTheme="minorHAnsi" w:hAnsiTheme="minorHAnsi" w:cstheme="minorHAnsi"/>
          <w:lang w:eastAsia="ja-JP"/>
        </w:rPr>
        <w:t xml:space="preserve">aksymalne moce wynoszą: </w:t>
      </w:r>
    </w:p>
    <w:p w14:paraId="19D5FE87" w14:textId="4B0A4962" w:rsidR="0041639B" w:rsidRPr="00B54F04" w:rsidRDefault="0041639B" w:rsidP="00CF7820">
      <w:pPr>
        <w:pStyle w:val="Akapitzlist"/>
        <w:numPr>
          <w:ilvl w:val="1"/>
          <w:numId w:val="21"/>
        </w:numPr>
        <w:autoSpaceDE w:val="0"/>
        <w:autoSpaceDN w:val="0"/>
        <w:adjustRightInd w:val="0"/>
        <w:spacing w:before="120" w:after="120"/>
        <w:ind w:left="1134" w:hanging="425"/>
        <w:contextualSpacing w:val="0"/>
        <w:rPr>
          <w:rFonts w:asciiTheme="minorHAnsi" w:hAnsiTheme="minorHAnsi" w:cstheme="minorHAnsi"/>
          <w:lang w:eastAsia="ja-JP"/>
        </w:rPr>
      </w:pPr>
      <w:r w:rsidRPr="00B54F04">
        <w:rPr>
          <w:rFonts w:asciiTheme="minorHAnsi" w:hAnsiTheme="minorHAnsi" w:cstheme="minorHAnsi"/>
          <w:lang w:eastAsia="ja-JP"/>
        </w:rPr>
        <w:t>Instalacje wytwarzające energię elektryczną</w:t>
      </w:r>
      <w:r w:rsidR="005B0AEF" w:rsidRPr="00B54F04">
        <w:rPr>
          <w:rFonts w:asciiTheme="minorHAnsi" w:hAnsiTheme="minorHAnsi" w:cstheme="minorHAnsi"/>
          <w:lang w:eastAsia="ja-JP"/>
        </w:rPr>
        <w:t xml:space="preserve"> z</w:t>
      </w:r>
      <w:r w:rsidR="008F64A9" w:rsidRPr="00B54F04">
        <w:rPr>
          <w:rFonts w:asciiTheme="minorHAnsi" w:hAnsiTheme="minorHAnsi" w:cstheme="minorHAnsi"/>
          <w:lang w:eastAsia="ja-JP"/>
        </w:rPr>
        <w:t>:</w:t>
      </w:r>
    </w:p>
    <w:p w14:paraId="242BBF01" w14:textId="7799CD02" w:rsidR="0041639B" w:rsidRPr="00B54F04" w:rsidRDefault="0041639B" w:rsidP="00CF7820">
      <w:pPr>
        <w:pStyle w:val="Akapitzlist"/>
        <w:numPr>
          <w:ilvl w:val="1"/>
          <w:numId w:val="22"/>
        </w:numPr>
        <w:autoSpaceDE w:val="0"/>
        <w:autoSpaceDN w:val="0"/>
        <w:adjustRightInd w:val="0"/>
        <w:spacing w:before="120" w:after="120"/>
        <w:contextualSpacing w:val="0"/>
        <w:rPr>
          <w:rFonts w:asciiTheme="minorHAnsi" w:hAnsiTheme="minorHAnsi" w:cstheme="minorHAnsi"/>
          <w:lang w:eastAsia="ja-JP"/>
        </w:rPr>
      </w:pPr>
      <w:r w:rsidRPr="00B54F04">
        <w:rPr>
          <w:rFonts w:asciiTheme="minorHAnsi" w:hAnsiTheme="minorHAnsi" w:cstheme="minorHAnsi"/>
          <w:lang w:eastAsia="ja-JP"/>
        </w:rPr>
        <w:t>biomas</w:t>
      </w:r>
      <w:r w:rsidR="005B0AEF" w:rsidRPr="00B54F04">
        <w:rPr>
          <w:rFonts w:asciiTheme="minorHAnsi" w:hAnsiTheme="minorHAnsi" w:cstheme="minorHAnsi"/>
          <w:lang w:eastAsia="ja-JP"/>
        </w:rPr>
        <w:t>y</w:t>
      </w:r>
      <w:r w:rsidRPr="00B54F04">
        <w:rPr>
          <w:rFonts w:asciiTheme="minorHAnsi" w:hAnsiTheme="minorHAnsi" w:cstheme="minorHAnsi"/>
          <w:lang w:eastAsia="ja-JP"/>
        </w:rPr>
        <w:t xml:space="preserve"> – nie więcej niż 5 </w:t>
      </w:r>
      <w:proofErr w:type="spellStart"/>
      <w:r w:rsidRPr="00B54F04">
        <w:rPr>
          <w:rFonts w:asciiTheme="minorHAnsi" w:hAnsiTheme="minorHAnsi" w:cstheme="minorHAnsi"/>
          <w:lang w:eastAsia="ja-JP"/>
        </w:rPr>
        <w:t>MWe</w:t>
      </w:r>
      <w:proofErr w:type="spellEnd"/>
      <w:r w:rsidRPr="00B54F04">
        <w:rPr>
          <w:rFonts w:asciiTheme="minorHAnsi" w:hAnsiTheme="minorHAnsi" w:cstheme="minorHAnsi"/>
          <w:lang w:eastAsia="ja-JP"/>
        </w:rPr>
        <w:t xml:space="preserve">, </w:t>
      </w:r>
    </w:p>
    <w:p w14:paraId="3D4B4708" w14:textId="61E305C1" w:rsidR="0041639B" w:rsidRPr="00B54F04" w:rsidRDefault="0041639B" w:rsidP="00CF7820">
      <w:pPr>
        <w:pStyle w:val="Akapitzlist"/>
        <w:numPr>
          <w:ilvl w:val="1"/>
          <w:numId w:val="22"/>
        </w:numPr>
        <w:autoSpaceDE w:val="0"/>
        <w:autoSpaceDN w:val="0"/>
        <w:adjustRightInd w:val="0"/>
        <w:spacing w:before="120" w:after="120"/>
        <w:contextualSpacing w:val="0"/>
        <w:rPr>
          <w:rFonts w:asciiTheme="minorHAnsi" w:hAnsiTheme="minorHAnsi" w:cstheme="minorHAnsi"/>
          <w:lang w:eastAsia="ja-JP"/>
        </w:rPr>
      </w:pPr>
      <w:r w:rsidRPr="00B54F04">
        <w:rPr>
          <w:rFonts w:asciiTheme="minorHAnsi" w:hAnsiTheme="minorHAnsi" w:cstheme="minorHAnsi"/>
          <w:lang w:eastAsia="ja-JP"/>
        </w:rPr>
        <w:t>biogaz</w:t>
      </w:r>
      <w:r w:rsidR="005B0AEF" w:rsidRPr="00B54F04">
        <w:rPr>
          <w:rFonts w:asciiTheme="minorHAnsi" w:hAnsiTheme="minorHAnsi" w:cstheme="minorHAnsi"/>
          <w:lang w:eastAsia="ja-JP"/>
        </w:rPr>
        <w:t>u</w:t>
      </w:r>
      <w:r w:rsidRPr="00B54F04">
        <w:rPr>
          <w:rFonts w:asciiTheme="minorHAnsi" w:hAnsiTheme="minorHAnsi" w:cstheme="minorHAnsi"/>
          <w:lang w:eastAsia="ja-JP"/>
        </w:rPr>
        <w:t xml:space="preserve"> – nie więcej niż 0,5 </w:t>
      </w:r>
      <w:proofErr w:type="spellStart"/>
      <w:r w:rsidRPr="00B54F04">
        <w:rPr>
          <w:rFonts w:asciiTheme="minorHAnsi" w:hAnsiTheme="minorHAnsi" w:cstheme="minorHAnsi"/>
          <w:lang w:eastAsia="ja-JP"/>
        </w:rPr>
        <w:t>MWe</w:t>
      </w:r>
      <w:proofErr w:type="spellEnd"/>
      <w:r w:rsidR="007D1990">
        <w:rPr>
          <w:rFonts w:asciiTheme="minorHAnsi" w:hAnsiTheme="minorHAnsi" w:cstheme="minorHAnsi"/>
          <w:lang w:eastAsia="ja-JP"/>
        </w:rPr>
        <w:t>.</w:t>
      </w:r>
    </w:p>
    <w:p w14:paraId="49ECFF60" w14:textId="1C2A3261" w:rsidR="0041639B" w:rsidRPr="00B54F04" w:rsidRDefault="0041639B" w:rsidP="00CF7820">
      <w:pPr>
        <w:pStyle w:val="Akapitzlist"/>
        <w:numPr>
          <w:ilvl w:val="1"/>
          <w:numId w:val="21"/>
        </w:numPr>
        <w:autoSpaceDE w:val="0"/>
        <w:autoSpaceDN w:val="0"/>
        <w:adjustRightInd w:val="0"/>
        <w:spacing w:before="120" w:after="120"/>
        <w:ind w:left="1134" w:hanging="425"/>
        <w:contextualSpacing w:val="0"/>
        <w:rPr>
          <w:rFonts w:asciiTheme="minorHAnsi" w:hAnsiTheme="minorHAnsi" w:cstheme="minorHAnsi"/>
          <w:lang w:eastAsia="ja-JP"/>
        </w:rPr>
      </w:pPr>
      <w:r w:rsidRPr="00B54F04">
        <w:rPr>
          <w:rFonts w:asciiTheme="minorHAnsi" w:hAnsiTheme="minorHAnsi" w:cstheme="minorHAnsi"/>
          <w:lang w:eastAsia="ja-JP"/>
        </w:rPr>
        <w:t>Instalacje wytwarzające ciepło</w:t>
      </w:r>
      <w:r w:rsidR="005B0AEF" w:rsidRPr="00B54F04">
        <w:rPr>
          <w:rFonts w:asciiTheme="minorHAnsi" w:hAnsiTheme="minorHAnsi" w:cstheme="minorHAnsi"/>
          <w:lang w:eastAsia="ja-JP"/>
        </w:rPr>
        <w:t xml:space="preserve"> z</w:t>
      </w:r>
      <w:r w:rsidRPr="00B54F04">
        <w:rPr>
          <w:rFonts w:asciiTheme="minorHAnsi" w:hAnsiTheme="minorHAnsi" w:cstheme="minorHAnsi"/>
          <w:lang w:eastAsia="ja-JP"/>
        </w:rPr>
        <w:t xml:space="preserve">: </w:t>
      </w:r>
    </w:p>
    <w:p w14:paraId="240DE569" w14:textId="2B5B67CC" w:rsidR="0041639B" w:rsidRPr="00B54F04" w:rsidRDefault="0041639B" w:rsidP="00CF7820">
      <w:pPr>
        <w:pStyle w:val="Akapitzlist"/>
        <w:numPr>
          <w:ilvl w:val="0"/>
          <w:numId w:val="28"/>
        </w:numPr>
        <w:autoSpaceDE w:val="0"/>
        <w:autoSpaceDN w:val="0"/>
        <w:adjustRightInd w:val="0"/>
        <w:spacing w:before="120" w:after="120"/>
        <w:contextualSpacing w:val="0"/>
        <w:rPr>
          <w:rFonts w:asciiTheme="minorHAnsi" w:hAnsiTheme="minorHAnsi" w:cstheme="minorHAnsi"/>
          <w:lang w:eastAsia="ja-JP"/>
        </w:rPr>
      </w:pPr>
      <w:r w:rsidRPr="00B54F04">
        <w:rPr>
          <w:rFonts w:asciiTheme="minorHAnsi" w:hAnsiTheme="minorHAnsi" w:cstheme="minorHAnsi"/>
          <w:lang w:eastAsia="ja-JP"/>
        </w:rPr>
        <w:t>biomas</w:t>
      </w:r>
      <w:r w:rsidR="005B0AEF" w:rsidRPr="00B54F04">
        <w:rPr>
          <w:rFonts w:asciiTheme="minorHAnsi" w:hAnsiTheme="minorHAnsi" w:cstheme="minorHAnsi"/>
          <w:lang w:eastAsia="ja-JP"/>
        </w:rPr>
        <w:t>y</w:t>
      </w:r>
      <w:r w:rsidRPr="00B54F04">
        <w:rPr>
          <w:rFonts w:asciiTheme="minorHAnsi" w:hAnsiTheme="minorHAnsi" w:cstheme="minorHAnsi"/>
          <w:lang w:eastAsia="ja-JP"/>
        </w:rPr>
        <w:t xml:space="preserve"> – nie więcej niż 5 </w:t>
      </w:r>
      <w:proofErr w:type="spellStart"/>
      <w:r w:rsidR="00097697" w:rsidRPr="00B54F04">
        <w:rPr>
          <w:rFonts w:asciiTheme="minorHAnsi" w:hAnsiTheme="minorHAnsi" w:cstheme="minorHAnsi"/>
          <w:lang w:eastAsia="ja-JP"/>
        </w:rPr>
        <w:t>MWt</w:t>
      </w:r>
      <w:r w:rsidR="00992D4C" w:rsidRPr="00B54F04">
        <w:rPr>
          <w:rFonts w:asciiTheme="minorHAnsi" w:hAnsiTheme="minorHAnsi" w:cstheme="minorHAnsi"/>
          <w:lang w:eastAsia="ja-JP"/>
        </w:rPr>
        <w:t>h</w:t>
      </w:r>
      <w:proofErr w:type="spellEnd"/>
      <w:r w:rsidRPr="00B54F04">
        <w:rPr>
          <w:rFonts w:asciiTheme="minorHAnsi" w:hAnsiTheme="minorHAnsi" w:cstheme="minorHAnsi"/>
          <w:lang w:eastAsia="ja-JP"/>
        </w:rPr>
        <w:t xml:space="preserve">, </w:t>
      </w:r>
    </w:p>
    <w:p w14:paraId="4426B753" w14:textId="5FE8A812" w:rsidR="0041639B" w:rsidRDefault="0041639B" w:rsidP="00CF7820">
      <w:pPr>
        <w:pStyle w:val="Akapitzlist"/>
        <w:numPr>
          <w:ilvl w:val="0"/>
          <w:numId w:val="28"/>
        </w:numPr>
        <w:autoSpaceDE w:val="0"/>
        <w:autoSpaceDN w:val="0"/>
        <w:adjustRightInd w:val="0"/>
        <w:spacing w:before="120" w:after="120"/>
        <w:contextualSpacing w:val="0"/>
        <w:rPr>
          <w:rFonts w:asciiTheme="minorHAnsi" w:hAnsiTheme="minorHAnsi" w:cstheme="minorHAnsi"/>
          <w:lang w:eastAsia="ja-JP"/>
        </w:rPr>
      </w:pPr>
      <w:r w:rsidRPr="00B54F04">
        <w:rPr>
          <w:rFonts w:asciiTheme="minorHAnsi" w:hAnsiTheme="minorHAnsi" w:cstheme="minorHAnsi"/>
          <w:lang w:eastAsia="ja-JP"/>
        </w:rPr>
        <w:t>biogaz</w:t>
      </w:r>
      <w:r w:rsidR="005B0AEF" w:rsidRPr="00B54F04">
        <w:rPr>
          <w:rFonts w:asciiTheme="minorHAnsi" w:hAnsiTheme="minorHAnsi" w:cstheme="minorHAnsi"/>
          <w:lang w:eastAsia="ja-JP"/>
        </w:rPr>
        <w:t>u</w:t>
      </w:r>
      <w:r w:rsidRPr="00B54F04">
        <w:rPr>
          <w:rFonts w:asciiTheme="minorHAnsi" w:hAnsiTheme="minorHAnsi" w:cstheme="minorHAnsi"/>
          <w:lang w:eastAsia="ja-JP"/>
        </w:rPr>
        <w:t xml:space="preserve"> – nie więcej niż 0,5 </w:t>
      </w:r>
      <w:proofErr w:type="spellStart"/>
      <w:r w:rsidR="00097697" w:rsidRPr="00B54F04">
        <w:rPr>
          <w:rFonts w:asciiTheme="minorHAnsi" w:hAnsiTheme="minorHAnsi" w:cstheme="minorHAnsi"/>
          <w:lang w:eastAsia="ja-JP"/>
        </w:rPr>
        <w:t>MWt</w:t>
      </w:r>
      <w:r w:rsidR="00992D4C" w:rsidRPr="00B54F04">
        <w:rPr>
          <w:rFonts w:asciiTheme="minorHAnsi" w:hAnsiTheme="minorHAnsi" w:cstheme="minorHAnsi"/>
          <w:lang w:eastAsia="ja-JP"/>
        </w:rPr>
        <w:t>h</w:t>
      </w:r>
      <w:proofErr w:type="spellEnd"/>
      <w:r w:rsidR="007D1990">
        <w:rPr>
          <w:rFonts w:asciiTheme="minorHAnsi" w:hAnsiTheme="minorHAnsi" w:cstheme="minorHAnsi"/>
          <w:lang w:eastAsia="ja-JP"/>
        </w:rPr>
        <w:t>.</w:t>
      </w:r>
    </w:p>
    <w:p w14:paraId="28206035" w14:textId="67F7A230" w:rsidR="007D1990" w:rsidRPr="00B54F04" w:rsidRDefault="007D1990" w:rsidP="007D1990">
      <w:pPr>
        <w:pStyle w:val="Akapitzlist"/>
        <w:autoSpaceDE w:val="0"/>
        <w:autoSpaceDN w:val="0"/>
        <w:adjustRightInd w:val="0"/>
        <w:spacing w:before="120" w:after="120"/>
        <w:ind w:left="1094" w:hanging="357"/>
        <w:contextualSpacing w:val="0"/>
        <w:rPr>
          <w:rFonts w:asciiTheme="minorHAnsi" w:hAnsiTheme="minorHAnsi" w:cstheme="minorHAnsi"/>
          <w:lang w:eastAsia="ja-JP"/>
        </w:rPr>
      </w:pPr>
      <w:r w:rsidRPr="007D1990">
        <w:rPr>
          <w:rFonts w:asciiTheme="minorHAnsi" w:hAnsiTheme="minorHAnsi" w:cstheme="minorHAnsi"/>
          <w:lang w:eastAsia="ja-JP"/>
        </w:rPr>
        <w:t>Pozostałe rodzaje OZE mogą być wspierane bez ograniczeń w zakresie mocy.</w:t>
      </w:r>
    </w:p>
    <w:p w14:paraId="5D8E1DDD" w14:textId="77777777" w:rsidR="00503E80" w:rsidRPr="00E34BBF" w:rsidRDefault="00503E80" w:rsidP="00E34BBF">
      <w:pPr>
        <w:pStyle w:val="Akapitzlist"/>
        <w:numPr>
          <w:ilvl w:val="0"/>
          <w:numId w:val="20"/>
        </w:numPr>
        <w:rPr>
          <w:lang w:eastAsia="pl-PL"/>
        </w:rPr>
      </w:pPr>
      <w:r w:rsidRPr="00E34BBF">
        <w:rPr>
          <w:lang w:eastAsia="pl-PL"/>
        </w:rPr>
        <w:t>Inwestycja Końcowa może obejmować magazyn energii, o ile spełnia on łącznie następujące warunki:</w:t>
      </w:r>
    </w:p>
    <w:p w14:paraId="301C7FED" w14:textId="77777777" w:rsidR="00503E80" w:rsidRPr="008E570A" w:rsidRDefault="00503E80" w:rsidP="00E34BBF">
      <w:pPr>
        <w:pStyle w:val="Akapitzlist"/>
        <w:numPr>
          <w:ilvl w:val="1"/>
          <w:numId w:val="20"/>
        </w:numPr>
        <w:autoSpaceDE w:val="0"/>
        <w:autoSpaceDN w:val="0"/>
        <w:adjustRightInd w:val="0"/>
        <w:spacing w:after="120" w:line="240" w:lineRule="auto"/>
        <w:ind w:left="1066" w:hanging="357"/>
        <w:contextualSpacing w:val="0"/>
        <w:rPr>
          <w:rFonts w:asciiTheme="minorHAnsi" w:hAnsiTheme="minorHAnsi" w:cstheme="minorHAnsi"/>
          <w:lang w:eastAsia="pl-PL"/>
        </w:rPr>
      </w:pPr>
      <w:r w:rsidRPr="008E570A">
        <w:rPr>
          <w:rFonts w:asciiTheme="minorHAnsi" w:hAnsiTheme="minorHAnsi" w:cstheme="minorHAnsi"/>
          <w:lang w:eastAsia="pl-PL"/>
        </w:rPr>
        <w:t>pojemność i moc magazynu energii jest adekwatna do zapotrzebowania Wnioskodawcy na energię i profilu jej zużycia przez Wnioskodawcę,</w:t>
      </w:r>
    </w:p>
    <w:p w14:paraId="50647C5E" w14:textId="59E10E74" w:rsidR="00503E80" w:rsidRDefault="00503E80" w:rsidP="00E34BBF">
      <w:pPr>
        <w:pStyle w:val="Akapitzlist"/>
        <w:numPr>
          <w:ilvl w:val="1"/>
          <w:numId w:val="20"/>
        </w:numPr>
        <w:autoSpaceDE w:val="0"/>
        <w:autoSpaceDN w:val="0"/>
        <w:adjustRightInd w:val="0"/>
        <w:spacing w:after="120" w:line="240" w:lineRule="auto"/>
        <w:ind w:left="1066" w:hanging="357"/>
        <w:contextualSpacing w:val="0"/>
        <w:rPr>
          <w:rFonts w:asciiTheme="minorHAnsi" w:hAnsiTheme="minorHAnsi" w:cstheme="minorHAnsi"/>
          <w:lang w:eastAsia="pl-PL"/>
        </w:rPr>
      </w:pPr>
      <w:r w:rsidRPr="008E570A">
        <w:rPr>
          <w:rFonts w:asciiTheme="minorHAnsi" w:hAnsiTheme="minorHAnsi" w:cstheme="minorHAnsi"/>
          <w:lang w:eastAsia="pl-PL"/>
        </w:rPr>
        <w:lastRenderedPageBreak/>
        <w:t xml:space="preserve">pojemność magazynu energii </w:t>
      </w:r>
      <w:r w:rsidRPr="008F3EE7">
        <w:rPr>
          <w:rFonts w:asciiTheme="minorHAnsi" w:hAnsiTheme="minorHAnsi" w:cstheme="minorHAnsi"/>
          <w:lang w:eastAsia="pl-PL"/>
        </w:rPr>
        <w:t xml:space="preserve">w [kWh] nie może przekroczyć dwukrotności mocy </w:t>
      </w:r>
      <w:r w:rsidR="00077AC5">
        <w:rPr>
          <w:rFonts w:asciiTheme="minorHAnsi" w:hAnsiTheme="minorHAnsi" w:cstheme="minorHAnsi"/>
          <w:lang w:eastAsia="pl-PL"/>
        </w:rPr>
        <w:t xml:space="preserve">zainstalowanej w </w:t>
      </w:r>
      <w:r w:rsidRPr="008F3EE7">
        <w:rPr>
          <w:rFonts w:asciiTheme="minorHAnsi" w:hAnsiTheme="minorHAnsi" w:cstheme="minorHAnsi"/>
          <w:lang w:eastAsia="pl-PL"/>
        </w:rPr>
        <w:t>źródł</w:t>
      </w:r>
      <w:r w:rsidR="00077AC5">
        <w:rPr>
          <w:rFonts w:asciiTheme="minorHAnsi" w:hAnsiTheme="minorHAnsi" w:cstheme="minorHAnsi"/>
          <w:lang w:eastAsia="pl-PL"/>
        </w:rPr>
        <w:t>ach</w:t>
      </w:r>
      <w:r w:rsidRPr="008F3EE7">
        <w:rPr>
          <w:rFonts w:asciiTheme="minorHAnsi" w:hAnsiTheme="minorHAnsi" w:cstheme="minorHAnsi"/>
          <w:lang w:eastAsia="pl-PL"/>
        </w:rPr>
        <w:t xml:space="preserve"> odnawialnych w [kW]</w:t>
      </w:r>
      <w:r w:rsidRPr="00F97F53">
        <w:rPr>
          <w:rStyle w:val="Odwoanieprzypisudolnego"/>
          <w:rFonts w:asciiTheme="minorHAnsi" w:hAnsiTheme="minorHAnsi" w:cstheme="minorHAnsi"/>
          <w:color w:val="000000" w:themeColor="text1"/>
        </w:rPr>
        <w:footnoteReference w:id="3"/>
      </w:r>
      <w:r w:rsidR="00077AC5">
        <w:rPr>
          <w:rFonts w:asciiTheme="minorHAnsi" w:hAnsiTheme="minorHAnsi" w:cstheme="minorHAnsi"/>
          <w:lang w:eastAsia="pl-PL"/>
        </w:rPr>
        <w:t>,</w:t>
      </w:r>
    </w:p>
    <w:p w14:paraId="4CB30E20" w14:textId="77777777" w:rsidR="00E1251B" w:rsidRDefault="00E1251B" w:rsidP="00E1251B">
      <w:pPr>
        <w:pStyle w:val="Akapitzlist"/>
        <w:numPr>
          <w:ilvl w:val="1"/>
          <w:numId w:val="20"/>
        </w:numPr>
        <w:autoSpaceDE w:val="0"/>
        <w:autoSpaceDN w:val="0"/>
        <w:adjustRightInd w:val="0"/>
        <w:spacing w:after="120" w:line="240" w:lineRule="auto"/>
        <w:ind w:left="1134" w:hanging="425"/>
        <w:contextualSpacing w:val="0"/>
        <w:rPr>
          <w:rFonts w:asciiTheme="minorHAnsi" w:hAnsiTheme="minorHAnsi" w:cstheme="minorHAnsi"/>
          <w:lang w:eastAsia="pl-PL"/>
        </w:rPr>
      </w:pPr>
      <w:r>
        <w:rPr>
          <w:rFonts w:asciiTheme="minorHAnsi" w:hAnsiTheme="minorHAnsi" w:cstheme="minorHAnsi"/>
          <w:lang w:eastAsia="pl-PL"/>
        </w:rPr>
        <w:t xml:space="preserve">maksymalna </w:t>
      </w:r>
      <w:r w:rsidRPr="008E570A">
        <w:rPr>
          <w:rFonts w:asciiTheme="minorHAnsi" w:hAnsiTheme="minorHAnsi" w:cstheme="minorHAnsi"/>
          <w:lang w:eastAsia="pl-PL"/>
        </w:rPr>
        <w:t xml:space="preserve">moc magazynu </w:t>
      </w:r>
      <w:r>
        <w:rPr>
          <w:rFonts w:asciiTheme="minorHAnsi" w:hAnsiTheme="minorHAnsi" w:cstheme="minorHAnsi"/>
          <w:lang w:eastAsia="pl-PL"/>
        </w:rPr>
        <w:t>energii elektrycznej:</w:t>
      </w:r>
    </w:p>
    <w:p w14:paraId="0C31C0CA" w14:textId="77777777" w:rsidR="00E1251B" w:rsidRPr="00D41CBF" w:rsidRDefault="00E1251B" w:rsidP="00E1251B">
      <w:pPr>
        <w:pStyle w:val="Akapitzlist"/>
        <w:numPr>
          <w:ilvl w:val="0"/>
          <w:numId w:val="46"/>
        </w:numPr>
        <w:autoSpaceDE w:val="0"/>
        <w:autoSpaceDN w:val="0"/>
        <w:adjustRightInd w:val="0"/>
        <w:spacing w:after="120" w:line="240" w:lineRule="auto"/>
        <w:contextualSpacing w:val="0"/>
        <w:rPr>
          <w:rFonts w:asciiTheme="minorHAnsi" w:hAnsiTheme="minorHAnsi" w:cstheme="minorHAnsi"/>
          <w:lang w:eastAsia="pl-PL"/>
        </w:rPr>
      </w:pPr>
      <w:r w:rsidRPr="008E570A">
        <w:rPr>
          <w:rFonts w:asciiTheme="minorHAnsi" w:hAnsiTheme="minorHAnsi" w:cstheme="minorHAnsi"/>
          <w:lang w:eastAsia="pl-PL"/>
        </w:rPr>
        <w:t>nie jest wyższa niż 1 MW</w:t>
      </w:r>
      <w:r>
        <w:rPr>
          <w:rFonts w:asciiTheme="minorHAnsi" w:hAnsiTheme="minorHAnsi" w:cstheme="minorHAnsi"/>
          <w:lang w:eastAsia="pl-PL"/>
        </w:rPr>
        <w:t xml:space="preserve"> </w:t>
      </w:r>
      <w:r w:rsidRPr="00D41CBF">
        <w:rPr>
          <w:rFonts w:asciiTheme="minorHAnsi" w:hAnsiTheme="minorHAnsi" w:cstheme="minorHAnsi"/>
          <w:lang w:eastAsia="pl-PL"/>
        </w:rPr>
        <w:t>- w przypadku Inwestycji Końcowych obejmujących wyłącznie zakup lub budowę magazynu energii, tj. bez inwestycji w odnawialne źródło energii, albo</w:t>
      </w:r>
    </w:p>
    <w:p w14:paraId="6BBDACB8" w14:textId="77777777" w:rsidR="00E1251B" w:rsidRPr="00D41CBF" w:rsidRDefault="00E1251B" w:rsidP="00E1251B">
      <w:pPr>
        <w:pStyle w:val="Akapitzlist"/>
        <w:numPr>
          <w:ilvl w:val="0"/>
          <w:numId w:val="46"/>
        </w:numPr>
        <w:autoSpaceDE w:val="0"/>
        <w:autoSpaceDN w:val="0"/>
        <w:adjustRightInd w:val="0"/>
        <w:spacing w:after="120" w:line="240" w:lineRule="auto"/>
        <w:contextualSpacing w:val="0"/>
        <w:rPr>
          <w:rFonts w:asciiTheme="minorHAnsi" w:hAnsiTheme="minorHAnsi" w:cstheme="minorHAnsi"/>
          <w:lang w:eastAsia="pl-PL"/>
        </w:rPr>
      </w:pPr>
      <w:r w:rsidRPr="008E570A">
        <w:rPr>
          <w:rFonts w:asciiTheme="minorHAnsi" w:hAnsiTheme="minorHAnsi" w:cstheme="minorHAnsi"/>
          <w:lang w:eastAsia="pl-PL"/>
        </w:rPr>
        <w:t>nie przekracza sumarycznej mocy wszystkich jednostek wytwórczych wchodzących w skład instalacji wytwarzania energii ze źródeł odnawialnych</w:t>
      </w:r>
      <w:r>
        <w:rPr>
          <w:rFonts w:asciiTheme="minorHAnsi" w:hAnsiTheme="minorHAnsi" w:cstheme="minorHAnsi"/>
          <w:lang w:eastAsia="pl-PL"/>
        </w:rPr>
        <w:t xml:space="preserve"> </w:t>
      </w:r>
      <w:r w:rsidRPr="00D41CBF">
        <w:rPr>
          <w:rFonts w:asciiTheme="minorHAnsi" w:hAnsiTheme="minorHAnsi" w:cstheme="minorHAnsi"/>
          <w:lang w:eastAsia="pl-PL"/>
        </w:rPr>
        <w:t>– w przypadku Inwestycji Końcowych obejmujących zarówno instalacje OZE jak i magazyn energii.</w:t>
      </w:r>
    </w:p>
    <w:p w14:paraId="254586CA" w14:textId="77777777" w:rsidR="00E1251B" w:rsidRPr="00004B4B" w:rsidRDefault="00E1251B" w:rsidP="00004B4B">
      <w:pPr>
        <w:autoSpaceDE w:val="0"/>
        <w:autoSpaceDN w:val="0"/>
        <w:adjustRightInd w:val="0"/>
        <w:spacing w:after="120" w:line="240" w:lineRule="auto"/>
        <w:rPr>
          <w:rFonts w:asciiTheme="minorHAnsi" w:hAnsiTheme="minorHAnsi" w:cstheme="minorHAnsi"/>
          <w:lang w:eastAsia="pl-PL"/>
        </w:rPr>
      </w:pPr>
    </w:p>
    <w:p w14:paraId="042C9984" w14:textId="77777777" w:rsidR="007D1990" w:rsidRPr="005040DD" w:rsidRDefault="007D1990" w:rsidP="005040DD">
      <w:pPr>
        <w:pStyle w:val="Akapitzlist"/>
        <w:numPr>
          <w:ilvl w:val="1"/>
          <w:numId w:val="20"/>
        </w:numPr>
        <w:autoSpaceDE w:val="0"/>
        <w:autoSpaceDN w:val="0"/>
        <w:adjustRightInd w:val="0"/>
        <w:spacing w:after="120" w:line="240" w:lineRule="auto"/>
        <w:ind w:left="1066" w:hanging="357"/>
        <w:contextualSpacing w:val="0"/>
        <w:rPr>
          <w:rFonts w:asciiTheme="minorHAnsi" w:hAnsiTheme="minorHAnsi" w:cstheme="minorHAnsi"/>
          <w:vanish/>
          <w:lang w:eastAsia="pl-PL"/>
        </w:rPr>
      </w:pPr>
    </w:p>
    <w:p w14:paraId="0EF411D3" w14:textId="32A1CC6F" w:rsidR="002C5986" w:rsidRPr="00B54F04" w:rsidRDefault="002C5986" w:rsidP="00CF7820">
      <w:pPr>
        <w:pStyle w:val="Akapitzlist"/>
        <w:numPr>
          <w:ilvl w:val="0"/>
          <w:numId w:val="20"/>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 xml:space="preserve">Dla celów opracowania Analizy Wykonalności w wersji uproszczonej wyodrębnia się </w:t>
      </w:r>
      <w:proofErr w:type="spellStart"/>
      <w:r w:rsidRPr="00B54F04">
        <w:rPr>
          <w:rFonts w:asciiTheme="minorHAnsi" w:hAnsiTheme="minorHAnsi" w:cstheme="minorHAnsi"/>
          <w:lang w:eastAsia="pl-PL"/>
        </w:rPr>
        <w:t>mikroinstalacje</w:t>
      </w:r>
      <w:proofErr w:type="spellEnd"/>
      <w:r w:rsidRPr="00B54F04">
        <w:rPr>
          <w:rFonts w:asciiTheme="minorHAnsi" w:hAnsiTheme="minorHAnsi" w:cstheme="minorHAnsi"/>
          <w:lang w:eastAsia="pl-PL"/>
        </w:rPr>
        <w:t xml:space="preserve"> energii elektrycznej i małe </w:t>
      </w:r>
      <w:r w:rsidR="004D5421" w:rsidRPr="00B54F04">
        <w:rPr>
          <w:rFonts w:asciiTheme="minorHAnsi" w:hAnsiTheme="minorHAnsi" w:cstheme="minorHAnsi"/>
          <w:lang w:eastAsia="pl-PL"/>
        </w:rPr>
        <w:t>źródła</w:t>
      </w:r>
      <w:r w:rsidRPr="00B54F04">
        <w:rPr>
          <w:rFonts w:asciiTheme="minorHAnsi" w:hAnsiTheme="minorHAnsi" w:cstheme="minorHAnsi"/>
          <w:lang w:eastAsia="pl-PL"/>
        </w:rPr>
        <w:t xml:space="preserve"> ciepła na potrzeby własne, dla których maksymalne moce wynoszą:</w:t>
      </w:r>
    </w:p>
    <w:p w14:paraId="2EE9FF9B" w14:textId="0887EBA0" w:rsidR="002C5986" w:rsidRPr="00B54F04" w:rsidRDefault="002C5986" w:rsidP="00D01D6D">
      <w:pPr>
        <w:pStyle w:val="Akapitzlist"/>
        <w:numPr>
          <w:ilvl w:val="1"/>
          <w:numId w:val="20"/>
        </w:numPr>
        <w:autoSpaceDE w:val="0"/>
        <w:autoSpaceDN w:val="0"/>
        <w:adjustRightInd w:val="0"/>
        <w:spacing w:before="120" w:after="120"/>
        <w:ind w:hanging="357"/>
        <w:contextualSpacing w:val="0"/>
        <w:rPr>
          <w:rFonts w:asciiTheme="minorHAnsi" w:hAnsiTheme="minorHAnsi" w:cstheme="minorHAnsi"/>
          <w:lang w:eastAsia="pl-PL"/>
        </w:rPr>
      </w:pPr>
      <w:proofErr w:type="spellStart"/>
      <w:r w:rsidRPr="00B54F04">
        <w:rPr>
          <w:rFonts w:asciiTheme="minorHAnsi" w:hAnsiTheme="minorHAnsi" w:cstheme="minorHAnsi"/>
          <w:lang w:eastAsia="pl-PL"/>
        </w:rPr>
        <w:t>Mikroinstalacje</w:t>
      </w:r>
      <w:proofErr w:type="spellEnd"/>
      <w:r w:rsidRPr="00B54F04">
        <w:rPr>
          <w:rFonts w:asciiTheme="minorHAnsi" w:hAnsiTheme="minorHAnsi" w:cstheme="minorHAnsi"/>
          <w:lang w:eastAsia="pl-PL"/>
        </w:rPr>
        <w:t xml:space="preserve"> wytwarzające energię elektryczną</w:t>
      </w:r>
      <w:r w:rsidR="00D01D6D" w:rsidRPr="00B54F04">
        <w:rPr>
          <w:rFonts w:asciiTheme="minorHAnsi" w:hAnsiTheme="minorHAnsi" w:cstheme="minorHAnsi"/>
          <w:lang w:eastAsia="pl-PL"/>
        </w:rPr>
        <w:t xml:space="preserve"> (i odpowiednio dobrany magazyn energii na potrzeby tego źródła OZE) – </w:t>
      </w:r>
      <w:r w:rsidRPr="00B54F04">
        <w:rPr>
          <w:rFonts w:asciiTheme="minorHAnsi" w:hAnsiTheme="minorHAnsi" w:cstheme="minorHAnsi"/>
          <w:lang w:eastAsia="pl-PL"/>
        </w:rPr>
        <w:t xml:space="preserve">instalacja fotowoltaiczna i elektrownia wiatrowa łącznie – nie więcej niż 50 </w:t>
      </w:r>
      <w:proofErr w:type="spellStart"/>
      <w:r w:rsidRPr="00B54F04">
        <w:rPr>
          <w:rFonts w:asciiTheme="minorHAnsi" w:hAnsiTheme="minorHAnsi" w:cstheme="minorHAnsi"/>
          <w:lang w:eastAsia="pl-PL"/>
        </w:rPr>
        <w:t>kWe</w:t>
      </w:r>
      <w:proofErr w:type="spellEnd"/>
      <w:r w:rsidRPr="00B54F04">
        <w:rPr>
          <w:rFonts w:asciiTheme="minorHAnsi" w:hAnsiTheme="minorHAnsi" w:cstheme="minorHAnsi"/>
          <w:lang w:eastAsia="pl-PL"/>
        </w:rPr>
        <w:t>,</w:t>
      </w:r>
    </w:p>
    <w:p w14:paraId="27871C7B" w14:textId="36C1DAF2" w:rsidR="002C5986" w:rsidRPr="00B54F04" w:rsidRDefault="002C5986" w:rsidP="00CF7820">
      <w:pPr>
        <w:pStyle w:val="Akapitzlist"/>
        <w:numPr>
          <w:ilvl w:val="1"/>
          <w:numId w:val="20"/>
        </w:numPr>
        <w:autoSpaceDE w:val="0"/>
        <w:autoSpaceDN w:val="0"/>
        <w:adjustRightInd w:val="0"/>
        <w:spacing w:before="120" w:after="120"/>
        <w:ind w:hanging="357"/>
        <w:contextualSpacing w:val="0"/>
        <w:rPr>
          <w:rFonts w:asciiTheme="minorHAnsi" w:hAnsiTheme="minorHAnsi" w:cstheme="minorHAnsi"/>
          <w:lang w:eastAsia="pl-PL"/>
        </w:rPr>
      </w:pPr>
      <w:r w:rsidRPr="00B54F04">
        <w:rPr>
          <w:rFonts w:asciiTheme="minorHAnsi" w:hAnsiTheme="minorHAnsi" w:cstheme="minorHAnsi"/>
          <w:lang w:eastAsia="pl-PL"/>
        </w:rPr>
        <w:t>Małe instalacje wytwarz</w:t>
      </w:r>
      <w:r w:rsidR="00D06602" w:rsidRPr="00B54F04">
        <w:rPr>
          <w:rFonts w:asciiTheme="minorHAnsi" w:hAnsiTheme="minorHAnsi" w:cstheme="minorHAnsi"/>
          <w:lang w:eastAsia="pl-PL"/>
        </w:rPr>
        <w:t>ające ciepło na potrzeby własne (i odpowiednio dobrany magazyn ciepła na potrzeby tego źródła OZE):</w:t>
      </w:r>
    </w:p>
    <w:p w14:paraId="2FC394DC" w14:textId="77777777" w:rsidR="002C5986" w:rsidRPr="00B54F04" w:rsidRDefault="002C5986" w:rsidP="00CF7820">
      <w:pPr>
        <w:pStyle w:val="Akapitzlist"/>
        <w:numPr>
          <w:ilvl w:val="0"/>
          <w:numId w:val="34"/>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pompa ciepła lub kocioł na biomasę</w:t>
      </w:r>
      <w:r w:rsidRPr="00B54F04">
        <w:rPr>
          <w:rStyle w:val="Odwoanieprzypisudolnego"/>
          <w:rFonts w:asciiTheme="minorHAnsi" w:hAnsiTheme="minorHAnsi" w:cstheme="minorHAnsi"/>
          <w:lang w:eastAsia="pl-PL"/>
        </w:rPr>
        <w:footnoteReference w:id="4"/>
      </w:r>
      <w:r w:rsidRPr="00B54F04">
        <w:rPr>
          <w:rFonts w:asciiTheme="minorHAnsi" w:hAnsiTheme="minorHAnsi" w:cstheme="minorHAnsi"/>
          <w:lang w:eastAsia="pl-PL"/>
        </w:rPr>
        <w:t xml:space="preserve"> – nie więcej niż 100 </w:t>
      </w:r>
      <w:proofErr w:type="spellStart"/>
      <w:r w:rsidRPr="00B54F04">
        <w:rPr>
          <w:rFonts w:asciiTheme="minorHAnsi" w:hAnsiTheme="minorHAnsi" w:cstheme="minorHAnsi"/>
          <w:lang w:eastAsia="pl-PL"/>
        </w:rPr>
        <w:t>kWt</w:t>
      </w:r>
      <w:proofErr w:type="spellEnd"/>
      <w:r w:rsidRPr="00B54F04">
        <w:rPr>
          <w:rFonts w:asciiTheme="minorHAnsi" w:hAnsiTheme="minorHAnsi" w:cstheme="minorHAnsi"/>
          <w:lang w:eastAsia="pl-PL"/>
        </w:rPr>
        <w:t>,</w:t>
      </w:r>
    </w:p>
    <w:p w14:paraId="13581BBE" w14:textId="1F9D25F7" w:rsidR="002C5986" w:rsidRPr="00B54F04" w:rsidRDefault="002C5986" w:rsidP="00CF7820">
      <w:pPr>
        <w:pStyle w:val="Akapitzlist"/>
        <w:numPr>
          <w:ilvl w:val="0"/>
          <w:numId w:val="34"/>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 xml:space="preserve">kolektor słoneczny – nie więcej niż 10 </w:t>
      </w:r>
      <w:proofErr w:type="spellStart"/>
      <w:r w:rsidRPr="00B54F04">
        <w:rPr>
          <w:rFonts w:asciiTheme="minorHAnsi" w:hAnsiTheme="minorHAnsi" w:cstheme="minorHAnsi"/>
          <w:lang w:eastAsia="pl-PL"/>
        </w:rPr>
        <w:t>kWt</w:t>
      </w:r>
      <w:proofErr w:type="spellEnd"/>
      <w:r w:rsidRPr="00B54F04">
        <w:rPr>
          <w:rFonts w:asciiTheme="minorHAnsi" w:hAnsiTheme="minorHAnsi" w:cstheme="minorHAnsi"/>
          <w:lang w:eastAsia="pl-PL"/>
        </w:rPr>
        <w:t>.</w:t>
      </w:r>
    </w:p>
    <w:p w14:paraId="59E31D04" w14:textId="495528FC" w:rsidR="00995FFA" w:rsidRPr="00B54F04" w:rsidRDefault="00995FFA" w:rsidP="00AB0BCD">
      <w:pPr>
        <w:pStyle w:val="Akapitzlist"/>
        <w:numPr>
          <w:ilvl w:val="0"/>
          <w:numId w:val="42"/>
        </w:numPr>
        <w:autoSpaceDE w:val="0"/>
        <w:autoSpaceDN w:val="0"/>
        <w:adjustRightInd w:val="0"/>
        <w:spacing w:before="120" w:after="120"/>
        <w:rPr>
          <w:rFonts w:asciiTheme="minorHAnsi" w:hAnsiTheme="minorHAnsi" w:cstheme="minorHAnsi"/>
          <w:lang w:eastAsia="pl-PL"/>
        </w:rPr>
      </w:pPr>
      <w:r w:rsidRPr="00B54F04">
        <w:rPr>
          <w:rFonts w:asciiTheme="minorHAnsi" w:hAnsiTheme="minorHAnsi" w:cstheme="minorHAnsi"/>
          <w:lang w:eastAsia="pl-PL"/>
        </w:rPr>
        <w:t>Dopuszczalne będą instalacje hybrydowe łączące w sobie więcej niż jedno źródło OZE.</w:t>
      </w:r>
      <w:r w:rsidR="00E1251B" w:rsidRPr="00E1251B">
        <w:rPr>
          <w:rFonts w:cs="Calibri"/>
          <w:lang w:eastAsia="pl-PL"/>
        </w:rPr>
        <w:t xml:space="preserve"> </w:t>
      </w:r>
      <w:r w:rsidR="00E1251B" w:rsidRPr="007648C6">
        <w:rPr>
          <w:rFonts w:cs="Calibri"/>
          <w:lang w:eastAsia="pl-PL"/>
        </w:rPr>
        <w:t>Wymienione w pkt 2 limity nie dotyczą inwestycji realizowanych przez spółdzielnie energetyczne.</w:t>
      </w:r>
    </w:p>
    <w:p w14:paraId="2DE973BA" w14:textId="2B82F44E" w:rsidR="00A1612D" w:rsidRPr="00B54F04" w:rsidRDefault="002036A4" w:rsidP="00AB0BCD">
      <w:pPr>
        <w:pStyle w:val="Akapitzlist"/>
        <w:numPr>
          <w:ilvl w:val="0"/>
          <w:numId w:val="42"/>
        </w:numPr>
        <w:autoSpaceDE w:val="0"/>
        <w:autoSpaceDN w:val="0"/>
        <w:adjustRightInd w:val="0"/>
        <w:spacing w:before="120" w:after="120"/>
        <w:rPr>
          <w:rFonts w:asciiTheme="minorHAnsi" w:hAnsiTheme="minorHAnsi" w:cstheme="minorHAnsi"/>
          <w:lang w:eastAsia="pl-PL"/>
        </w:rPr>
      </w:pPr>
      <w:r w:rsidRPr="00B54F04">
        <w:rPr>
          <w:rFonts w:asciiTheme="minorHAnsi" w:hAnsiTheme="minorHAnsi" w:cstheme="minorHAnsi"/>
          <w:lang w:eastAsia="pl-PL"/>
        </w:rPr>
        <w:t xml:space="preserve">Wymienione </w:t>
      </w:r>
      <w:r w:rsidR="00AF553A" w:rsidRPr="00B54F04">
        <w:rPr>
          <w:rFonts w:asciiTheme="minorHAnsi" w:hAnsiTheme="minorHAnsi" w:cstheme="minorHAnsi"/>
          <w:lang w:eastAsia="pl-PL"/>
        </w:rPr>
        <w:t xml:space="preserve">w pkt </w:t>
      </w:r>
      <w:r w:rsidR="0034133A" w:rsidRPr="00B54F04">
        <w:rPr>
          <w:rFonts w:asciiTheme="minorHAnsi" w:hAnsiTheme="minorHAnsi" w:cstheme="minorHAnsi"/>
          <w:lang w:eastAsia="pl-PL"/>
        </w:rPr>
        <w:t xml:space="preserve">2 </w:t>
      </w:r>
      <w:r w:rsidRPr="00B54F04">
        <w:rPr>
          <w:rFonts w:asciiTheme="minorHAnsi" w:hAnsiTheme="minorHAnsi" w:cstheme="minorHAnsi"/>
          <w:lang w:eastAsia="pl-PL"/>
        </w:rPr>
        <w:t xml:space="preserve">wartości odnoszą się wyłącznie do </w:t>
      </w:r>
      <w:r w:rsidR="00DD7E09" w:rsidRPr="00B54F04">
        <w:rPr>
          <w:rFonts w:asciiTheme="minorHAnsi" w:hAnsiTheme="minorHAnsi" w:cstheme="minorHAnsi"/>
        </w:rPr>
        <w:t xml:space="preserve">nowych/budowanych </w:t>
      </w:r>
      <w:r w:rsidRPr="00B54F04">
        <w:rPr>
          <w:rFonts w:asciiTheme="minorHAnsi" w:hAnsiTheme="minorHAnsi" w:cstheme="minorHAnsi"/>
          <w:lang w:eastAsia="pl-PL"/>
        </w:rPr>
        <w:t>instalacji OZE będących przedmiotem finansowania w ramach Inwestycji Końcowej.</w:t>
      </w:r>
    </w:p>
    <w:p w14:paraId="387E5919" w14:textId="054EE032" w:rsidR="001B2A5E" w:rsidRPr="00B54F04" w:rsidRDefault="001B2A5E" w:rsidP="00AB0BCD">
      <w:pPr>
        <w:pStyle w:val="Akapitzlist"/>
        <w:numPr>
          <w:ilvl w:val="0"/>
          <w:numId w:val="42"/>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 xml:space="preserve">Finansowaniu ze środków Jednostkowej Pożyczki podlegają instalacje wytwarzające energię elektryczną/ciepło </w:t>
      </w:r>
      <w:r w:rsidR="008A4091" w:rsidRPr="00B54F04">
        <w:rPr>
          <w:rFonts w:asciiTheme="minorHAnsi" w:hAnsiTheme="minorHAnsi" w:cstheme="minorHAnsi"/>
          <w:lang w:eastAsia="pl-PL"/>
        </w:rPr>
        <w:t xml:space="preserve">z OZE </w:t>
      </w:r>
      <w:r w:rsidRPr="00B54F04">
        <w:rPr>
          <w:rFonts w:asciiTheme="minorHAnsi" w:hAnsiTheme="minorHAnsi" w:cstheme="minorHAnsi"/>
          <w:lang w:eastAsia="pl-PL"/>
        </w:rPr>
        <w:t>na potrzeby budynków</w:t>
      </w:r>
      <w:r w:rsidR="008A4091" w:rsidRPr="00B54F04">
        <w:rPr>
          <w:rFonts w:asciiTheme="minorHAnsi" w:hAnsiTheme="minorHAnsi" w:cstheme="minorHAnsi"/>
          <w:lang w:eastAsia="pl-PL"/>
        </w:rPr>
        <w:t>, urządzeń technicznych lub instalacji i procesów technologicznych</w:t>
      </w:r>
      <w:r w:rsidRPr="00B54F04">
        <w:rPr>
          <w:rFonts w:asciiTheme="minorHAnsi" w:hAnsiTheme="minorHAnsi" w:cstheme="minorHAnsi"/>
          <w:lang w:eastAsia="pl-PL"/>
        </w:rPr>
        <w:t>, których dotyczy Inwestycja Końcowa. Finansowaniem może być objęty system zarządzania energią właściwy dla danej technologii oraz koszt przyłączenia instalacji do sieci elektroenergetycznej.</w:t>
      </w:r>
    </w:p>
    <w:p w14:paraId="615BCB47" w14:textId="4176333F" w:rsidR="001B2A5E" w:rsidRPr="00B54F04" w:rsidRDefault="001B2A5E" w:rsidP="00AB0BCD">
      <w:pPr>
        <w:pStyle w:val="Akapitzlist"/>
        <w:numPr>
          <w:ilvl w:val="0"/>
          <w:numId w:val="42"/>
        </w:numPr>
        <w:autoSpaceDE w:val="0"/>
        <w:autoSpaceDN w:val="0"/>
        <w:adjustRightInd w:val="0"/>
        <w:spacing w:before="120" w:after="120"/>
        <w:contextualSpacing w:val="0"/>
        <w:rPr>
          <w:rFonts w:asciiTheme="minorHAnsi" w:hAnsiTheme="minorHAnsi" w:cstheme="minorHAnsi"/>
        </w:rPr>
      </w:pPr>
      <w:r w:rsidRPr="00B54F04">
        <w:rPr>
          <w:rFonts w:asciiTheme="minorHAnsi" w:hAnsiTheme="minorHAnsi" w:cstheme="minorHAnsi"/>
          <w:lang w:eastAsia="pl-PL"/>
        </w:rPr>
        <w:t>Nie dopuszcza się montażu instalacji OZE na budynkach, których dachy pokryte są materiałami lub wyrobami zawierającymi azbest.</w:t>
      </w:r>
      <w:r w:rsidR="0030757D" w:rsidRPr="00B54F04">
        <w:rPr>
          <w:rFonts w:asciiTheme="minorHAnsi" w:hAnsiTheme="minorHAnsi" w:cstheme="minorHAnsi"/>
          <w:lang w:eastAsia="pl-PL"/>
        </w:rPr>
        <w:t xml:space="preserve"> </w:t>
      </w:r>
    </w:p>
    <w:p w14:paraId="37CEC1A3" w14:textId="1AF7D7F1" w:rsidR="00613E90" w:rsidRPr="00B54F04" w:rsidRDefault="005F3634" w:rsidP="00AB0BCD">
      <w:pPr>
        <w:pStyle w:val="Akapitzlist"/>
        <w:numPr>
          <w:ilvl w:val="0"/>
          <w:numId w:val="42"/>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W zakresie biopaliw, wspierane będą projekty związane z biopaliwami drugiej i trzeciej generacji, które spełniają kryteria środowiskowe określone w art. 29 Dyrektywy Parlamentu Europejskiego i Rady UE 2018/2001 z dnia 11 grudnia 2018 r. w sprawie promowania energii ze źródeł odnawialnych (RED II).</w:t>
      </w:r>
    </w:p>
    <w:p w14:paraId="0F93BBC1" w14:textId="61AFCBB2" w:rsidR="005F3634" w:rsidRPr="00B54F04" w:rsidRDefault="005F3634" w:rsidP="00AB0BCD">
      <w:pPr>
        <w:pStyle w:val="Akapitzlist"/>
        <w:numPr>
          <w:ilvl w:val="0"/>
          <w:numId w:val="42"/>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lastRenderedPageBreak/>
        <w:t>Inwestycje w elektrownie wodne ograniczone będą do działań dotyczących istniejących obiektów. Nie mogą one powodować nieosiągnięcia dobrego stanu lub potencjału jednolitych części wód, nie mogą pogarszać stanu lub potencjału jednolitych części wód oraz nie mogą mieć znaczącego wpływu na cele ochrony obszarów objętych siecią Natura 2000.</w:t>
      </w:r>
    </w:p>
    <w:p w14:paraId="2CAEEF26" w14:textId="1A27C4C5" w:rsidR="004E7644" w:rsidRDefault="008A4091" w:rsidP="002D21ED">
      <w:pPr>
        <w:pStyle w:val="Akapitzlist"/>
        <w:numPr>
          <w:ilvl w:val="0"/>
          <w:numId w:val="42"/>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Wszystkie planowane w ramach I</w:t>
      </w:r>
      <w:r w:rsidR="004E7644" w:rsidRPr="00B54F04">
        <w:rPr>
          <w:rFonts w:asciiTheme="minorHAnsi" w:hAnsiTheme="minorHAnsi" w:cstheme="minorHAnsi"/>
          <w:lang w:eastAsia="pl-PL"/>
        </w:rPr>
        <w:t xml:space="preserve">nwestycji Końcowej działania, </w:t>
      </w:r>
      <w:r w:rsidRPr="00B54F04">
        <w:rPr>
          <w:rFonts w:asciiTheme="minorHAnsi" w:hAnsiTheme="minorHAnsi" w:cstheme="minorHAnsi"/>
          <w:lang w:eastAsia="pl-PL"/>
        </w:rPr>
        <w:t>muszą wynikać ze zidentyfikowanych potrzeb wskazanych w Analizie Wykonalności, która musi zostać opracowana i przedstawiona wraz z Wnioskiem przy ubieganiu się o Jednostkową Pożyczkę.</w:t>
      </w:r>
    </w:p>
    <w:p w14:paraId="26E7DED3" w14:textId="613E5B15" w:rsidR="008A4091" w:rsidRPr="00B54F04" w:rsidRDefault="002036A4" w:rsidP="00AB0BCD">
      <w:pPr>
        <w:pStyle w:val="Akapitzlist"/>
        <w:numPr>
          <w:ilvl w:val="0"/>
          <w:numId w:val="42"/>
        </w:numPr>
        <w:autoSpaceDE w:val="0"/>
        <w:autoSpaceDN w:val="0"/>
        <w:adjustRightInd w:val="0"/>
        <w:spacing w:before="120" w:after="120"/>
        <w:contextualSpacing w:val="0"/>
        <w:rPr>
          <w:rFonts w:asciiTheme="minorHAnsi" w:hAnsiTheme="minorHAnsi" w:cstheme="minorHAnsi"/>
          <w:lang w:eastAsia="pl-PL"/>
        </w:rPr>
      </w:pPr>
      <w:r w:rsidRPr="00B54F04">
        <w:rPr>
          <w:rFonts w:asciiTheme="minorHAnsi" w:hAnsiTheme="minorHAnsi" w:cstheme="minorHAnsi"/>
          <w:lang w:eastAsia="pl-PL"/>
        </w:rPr>
        <w:t xml:space="preserve">Zestawienie wymagań wobec zastosowanych urządzeń i instalacji </w:t>
      </w:r>
      <w:r w:rsidR="00C27ADA" w:rsidRPr="00B54F04">
        <w:rPr>
          <w:rFonts w:asciiTheme="minorHAnsi" w:hAnsiTheme="minorHAnsi" w:cstheme="minorHAnsi"/>
          <w:lang w:eastAsia="pl-PL"/>
        </w:rPr>
        <w:t xml:space="preserve">oraz analiz </w:t>
      </w:r>
      <w:r w:rsidRPr="00B54F04">
        <w:rPr>
          <w:rFonts w:asciiTheme="minorHAnsi" w:hAnsiTheme="minorHAnsi" w:cstheme="minorHAnsi"/>
          <w:lang w:eastAsia="pl-PL"/>
        </w:rPr>
        <w:t xml:space="preserve">znajduje się w dokumencie </w:t>
      </w:r>
      <w:hyperlink r:id="rId12" w:history="1">
        <w:r w:rsidRPr="00B54F04">
          <w:rPr>
            <w:rFonts w:asciiTheme="minorHAnsi" w:hAnsiTheme="minorHAnsi" w:cstheme="minorHAnsi"/>
          </w:rPr>
          <w:t xml:space="preserve">„Przewodnik </w:t>
        </w:r>
        <w:r w:rsidR="006C567B" w:rsidRPr="00B54F04">
          <w:rPr>
            <w:rFonts w:asciiTheme="minorHAnsi" w:hAnsiTheme="minorHAnsi" w:cstheme="minorHAnsi"/>
          </w:rPr>
          <w:t xml:space="preserve">Banku Gospodarstwa Krajowego </w:t>
        </w:r>
        <w:r w:rsidRPr="00B54F04">
          <w:rPr>
            <w:rFonts w:asciiTheme="minorHAnsi" w:hAnsiTheme="minorHAnsi" w:cstheme="minorHAnsi"/>
          </w:rPr>
          <w:t xml:space="preserve">do sporządzania </w:t>
        </w:r>
        <w:r w:rsidR="00C27ADA" w:rsidRPr="00B54F04">
          <w:rPr>
            <w:rFonts w:asciiTheme="minorHAnsi" w:hAnsiTheme="minorHAnsi" w:cstheme="minorHAnsi"/>
          </w:rPr>
          <w:t>A</w:t>
        </w:r>
        <w:r w:rsidRPr="00B54F04">
          <w:rPr>
            <w:rFonts w:asciiTheme="minorHAnsi" w:hAnsiTheme="minorHAnsi" w:cstheme="minorHAnsi"/>
          </w:rPr>
          <w:t xml:space="preserve">nalizy </w:t>
        </w:r>
        <w:r w:rsidR="00C27ADA" w:rsidRPr="00B54F04">
          <w:rPr>
            <w:rFonts w:asciiTheme="minorHAnsi" w:hAnsiTheme="minorHAnsi" w:cstheme="minorHAnsi"/>
          </w:rPr>
          <w:t>W</w:t>
        </w:r>
        <w:r w:rsidRPr="00B54F04">
          <w:rPr>
            <w:rFonts w:asciiTheme="minorHAnsi" w:hAnsiTheme="minorHAnsi" w:cstheme="minorHAnsi"/>
          </w:rPr>
          <w:t>ykonalności – projekty w odnawialne źródła energii (OZE) finansowane z funduszy europejskich w ramach polityki spójności na lata 2021-2027”</w:t>
        </w:r>
      </w:hyperlink>
      <w:r w:rsidR="004D5421" w:rsidRPr="00B54F04">
        <w:rPr>
          <w:rFonts w:asciiTheme="minorHAnsi" w:hAnsiTheme="minorHAnsi" w:cstheme="minorHAnsi"/>
          <w:lang w:eastAsia="pl-PL"/>
        </w:rPr>
        <w:t xml:space="preserve"> dostępnym na stronie BGK pod adresem: </w:t>
      </w:r>
      <w:hyperlink r:id="rId13" w:history="1">
        <w:r w:rsidR="006F36A8" w:rsidRPr="00B54F04">
          <w:rPr>
            <w:rStyle w:val="Hipercze"/>
            <w:rFonts w:asciiTheme="minorHAnsi" w:hAnsiTheme="minorHAnsi" w:cstheme="minorHAnsi"/>
            <w:color w:val="auto"/>
            <w:lang w:eastAsia="pl-PL"/>
          </w:rPr>
          <w:t>https://www.bgk.pl/programy-i-fundusze/fundusze/fundusze-europejskie/projekty/fundusze-europejskie-dla-regionow-2021-2027/dokumenty-do-pobrania/</w:t>
        </w:r>
      </w:hyperlink>
      <w:r w:rsidR="006F36A8" w:rsidRPr="00B54F04">
        <w:rPr>
          <w:rFonts w:asciiTheme="minorHAnsi" w:hAnsiTheme="minorHAnsi" w:cstheme="minorHAnsi"/>
          <w:lang w:eastAsia="pl-PL"/>
        </w:rPr>
        <w:t xml:space="preserve"> </w:t>
      </w:r>
    </w:p>
    <w:p w14:paraId="58C27928" w14:textId="4F3D7775" w:rsidR="00305F58" w:rsidRPr="00B54F04" w:rsidRDefault="00305F58" w:rsidP="00264310">
      <w:pPr>
        <w:pStyle w:val="Nagwek1"/>
        <w:spacing w:after="240"/>
        <w:jc w:val="both"/>
        <w:rPr>
          <w:color w:val="auto"/>
        </w:rPr>
      </w:pPr>
      <w:r w:rsidRPr="00B54F04">
        <w:rPr>
          <w:color w:val="auto"/>
        </w:rPr>
        <w:t>Część V Wykluczenia i ograniczenia w finansowaniu</w:t>
      </w:r>
    </w:p>
    <w:p w14:paraId="626C9371" w14:textId="77777777" w:rsidR="00305F58" w:rsidRPr="00B54F04" w:rsidRDefault="00305F58" w:rsidP="00CF7820">
      <w:pPr>
        <w:pStyle w:val="Akapitzlist"/>
        <w:numPr>
          <w:ilvl w:val="0"/>
          <w:numId w:val="2"/>
        </w:numPr>
        <w:spacing w:before="120" w:after="120"/>
        <w:ind w:left="284" w:hanging="284"/>
        <w:contextualSpacing w:val="0"/>
        <w:rPr>
          <w:rFonts w:asciiTheme="minorHAnsi" w:hAnsiTheme="minorHAnsi" w:cstheme="minorHAnsi"/>
        </w:rPr>
      </w:pPr>
      <w:r w:rsidRPr="00B54F04">
        <w:rPr>
          <w:rFonts w:asciiTheme="minorHAnsi" w:hAnsiTheme="minorHAnsi" w:cstheme="minorHAnsi"/>
        </w:rPr>
        <w:t>Środki z Jednostkowej Pożyczki nie mogą być przeznaczone na:</w:t>
      </w:r>
    </w:p>
    <w:p w14:paraId="7A6136DB" w14:textId="77777777" w:rsidR="00305F58" w:rsidRPr="00B54F04" w:rsidRDefault="00305F58" w:rsidP="00CF7820">
      <w:pPr>
        <w:pStyle w:val="Akapitzlist"/>
        <w:numPr>
          <w:ilvl w:val="0"/>
          <w:numId w:val="3"/>
        </w:numPr>
        <w:spacing w:before="120" w:after="120"/>
        <w:ind w:left="1134" w:hanging="425"/>
        <w:contextualSpacing w:val="0"/>
        <w:rPr>
          <w:rFonts w:asciiTheme="minorHAnsi" w:hAnsiTheme="minorHAnsi" w:cstheme="minorHAnsi"/>
        </w:rPr>
      </w:pPr>
      <w:r w:rsidRPr="00B54F04">
        <w:rPr>
          <w:rFonts w:asciiTheme="minorHAnsi" w:hAnsiTheme="minorHAnsi" w:cstheme="minorHAnsi"/>
        </w:rPr>
        <w:t xml:space="preserve">wydatki i inwestycje objęte wyłączeniem ze wsparcia z Europejskiego Funduszu Rozwoju Regionalnego, wskazanym w art. 7 ust. 1 Rozporządzenia EFRR, </w:t>
      </w:r>
    </w:p>
    <w:p w14:paraId="7E826378" w14:textId="77777777" w:rsidR="00305F58" w:rsidRPr="00B54F04" w:rsidRDefault="00305F58" w:rsidP="00CF7820">
      <w:pPr>
        <w:pStyle w:val="Akapitzlist"/>
        <w:numPr>
          <w:ilvl w:val="0"/>
          <w:numId w:val="3"/>
        </w:numPr>
        <w:spacing w:before="120" w:after="120"/>
        <w:ind w:left="1134" w:hanging="425"/>
        <w:contextualSpacing w:val="0"/>
        <w:rPr>
          <w:rFonts w:asciiTheme="minorHAnsi" w:hAnsiTheme="minorHAnsi" w:cstheme="minorHAnsi"/>
        </w:rPr>
      </w:pPr>
      <w:r w:rsidRPr="00B54F04">
        <w:rPr>
          <w:rFonts w:asciiTheme="minorHAnsi" w:hAnsiTheme="minorHAnsi" w:cstheme="minorHAnsi"/>
        </w:rPr>
        <w:t>wydatki wspierające przeniesienie produkcji, o którym mowa w art. 66 Rozporządzenia Ogólnego;</w:t>
      </w:r>
    </w:p>
    <w:p w14:paraId="6B2EF2CB" w14:textId="77777777" w:rsidR="00305F58" w:rsidRPr="00B54F04" w:rsidRDefault="00305F58" w:rsidP="00CF7820">
      <w:pPr>
        <w:pStyle w:val="Akapitzlist"/>
        <w:numPr>
          <w:ilvl w:val="0"/>
          <w:numId w:val="3"/>
        </w:numPr>
        <w:spacing w:before="120" w:after="120"/>
        <w:ind w:left="1134" w:hanging="425"/>
        <w:contextualSpacing w:val="0"/>
        <w:rPr>
          <w:rFonts w:asciiTheme="minorHAnsi" w:hAnsiTheme="minorHAnsi" w:cstheme="minorHAnsi"/>
        </w:rPr>
      </w:pPr>
      <w:r w:rsidRPr="00B54F04">
        <w:rPr>
          <w:rFonts w:asciiTheme="minorHAnsi" w:hAnsiTheme="minorHAnsi" w:cstheme="minorHAnsi"/>
        </w:rPr>
        <w:t>spłatę odsetek od zadłużenia, o których mowa w art. 64 ust. 1 lit. a Rozporządzenia Ogólnego;</w:t>
      </w:r>
    </w:p>
    <w:p w14:paraId="03254DDC" w14:textId="77777777" w:rsidR="00305F58" w:rsidRPr="00B54F04" w:rsidRDefault="00305F58" w:rsidP="00CF7820">
      <w:pPr>
        <w:pStyle w:val="Akapitzlist"/>
        <w:numPr>
          <w:ilvl w:val="0"/>
          <w:numId w:val="3"/>
        </w:numPr>
        <w:spacing w:before="120" w:after="120"/>
        <w:ind w:left="1134" w:hanging="425"/>
        <w:contextualSpacing w:val="0"/>
        <w:rPr>
          <w:rFonts w:asciiTheme="minorHAnsi" w:hAnsiTheme="minorHAnsi" w:cstheme="minorHAnsi"/>
        </w:rPr>
      </w:pPr>
      <w:r w:rsidRPr="00B54F04">
        <w:rPr>
          <w:rFonts w:asciiTheme="minorHAnsi" w:hAnsiTheme="minorHAnsi" w:cstheme="minorHAnsi"/>
        </w:rPr>
        <w:t>prefinansowanie wydatków, w części, na którą Ostateczny Odbiorca otrzymał dofinansowanie w formie dotacji;</w:t>
      </w:r>
    </w:p>
    <w:p w14:paraId="4928AAFE" w14:textId="77777777" w:rsidR="00305F58" w:rsidRPr="00B54F04" w:rsidRDefault="00305F58" w:rsidP="00CF7820">
      <w:pPr>
        <w:pStyle w:val="Akapitzlist"/>
        <w:numPr>
          <w:ilvl w:val="0"/>
          <w:numId w:val="3"/>
        </w:numPr>
        <w:spacing w:before="120" w:after="120"/>
        <w:ind w:left="1134" w:hanging="425"/>
        <w:contextualSpacing w:val="0"/>
        <w:rPr>
          <w:rFonts w:asciiTheme="minorHAnsi" w:hAnsiTheme="minorHAnsi" w:cstheme="minorHAnsi"/>
        </w:rPr>
      </w:pPr>
      <w:r w:rsidRPr="00B54F04">
        <w:rPr>
          <w:rFonts w:asciiTheme="minorHAnsi" w:hAnsiTheme="minorHAnsi" w:cstheme="minorHAnsi"/>
        </w:rPr>
        <w:t>refinansowanie pożyczek, kredytów, leasingu lub innych form finansowania, z których korzysta Ostateczny Odbiorca;</w:t>
      </w:r>
    </w:p>
    <w:p w14:paraId="3834A359" w14:textId="77777777" w:rsidR="00305F58" w:rsidRPr="00B54F04" w:rsidRDefault="00305F58" w:rsidP="00CF7820">
      <w:pPr>
        <w:pStyle w:val="Akapitzlist"/>
        <w:numPr>
          <w:ilvl w:val="0"/>
          <w:numId w:val="3"/>
        </w:numPr>
        <w:spacing w:before="120" w:after="120"/>
        <w:ind w:left="1134" w:hanging="425"/>
        <w:contextualSpacing w:val="0"/>
        <w:rPr>
          <w:rFonts w:asciiTheme="minorHAnsi" w:hAnsiTheme="minorHAnsi" w:cstheme="minorHAnsi"/>
        </w:rPr>
      </w:pPr>
      <w:r w:rsidRPr="00B54F04">
        <w:rPr>
          <w:rFonts w:asciiTheme="minorHAnsi" w:hAnsiTheme="minorHAnsi" w:cstheme="minorHAnsi"/>
        </w:rPr>
        <w:t>finansowanie zakupu aktywów finansowych przeznaczonych do obrotu lub lokowania kapitału;</w:t>
      </w:r>
    </w:p>
    <w:p w14:paraId="566B6C57" w14:textId="77777777" w:rsidR="00305F58" w:rsidRPr="00B54F04" w:rsidRDefault="00305F58" w:rsidP="00CF7820">
      <w:pPr>
        <w:pStyle w:val="Akapitzlist"/>
        <w:numPr>
          <w:ilvl w:val="0"/>
          <w:numId w:val="3"/>
        </w:numPr>
        <w:spacing w:before="120" w:after="120"/>
        <w:ind w:left="1134" w:hanging="425"/>
        <w:contextualSpacing w:val="0"/>
        <w:rPr>
          <w:rFonts w:asciiTheme="minorHAnsi" w:hAnsiTheme="minorHAnsi" w:cstheme="minorHAnsi"/>
        </w:rPr>
      </w:pPr>
      <w:r w:rsidRPr="00B54F04">
        <w:rPr>
          <w:rFonts w:asciiTheme="minorHAnsi" w:hAnsiTheme="minorHAnsi" w:cstheme="minorHAnsi"/>
        </w:rPr>
        <w:t>finansowanie zakupu nieruchomości przeznaczonych do obrotu lub stanowiących lokatę kapitału;</w:t>
      </w:r>
    </w:p>
    <w:p w14:paraId="72282BBB" w14:textId="7C42AFDD" w:rsidR="00305F58" w:rsidRPr="00B54F04" w:rsidRDefault="00305F58" w:rsidP="00CF7820">
      <w:pPr>
        <w:pStyle w:val="Akapitzlist"/>
        <w:numPr>
          <w:ilvl w:val="0"/>
          <w:numId w:val="2"/>
        </w:numPr>
        <w:spacing w:before="120" w:after="120"/>
        <w:ind w:left="284" w:hanging="283"/>
        <w:contextualSpacing w:val="0"/>
        <w:rPr>
          <w:rFonts w:asciiTheme="minorHAnsi" w:hAnsiTheme="minorHAnsi" w:cstheme="minorHAnsi"/>
        </w:rPr>
      </w:pPr>
      <w:r w:rsidRPr="00B54F04">
        <w:rPr>
          <w:rFonts w:asciiTheme="minorHAnsi" w:hAnsiTheme="minorHAnsi" w:cstheme="minorHAnsi"/>
        </w:rPr>
        <w:t xml:space="preserve">Ostateczny Obiorca nie może doprowadzić do </w:t>
      </w:r>
      <w:bookmarkStart w:id="3" w:name="_Hlk162014648"/>
      <w:r w:rsidRPr="00B54F04">
        <w:rPr>
          <w:rFonts w:asciiTheme="minorHAnsi" w:hAnsiTheme="minorHAnsi" w:cstheme="minorHAnsi"/>
        </w:rPr>
        <w:t xml:space="preserve">wystąpienia przypadku więcej niż jednokrotnego – całkowitego albo częściowego – sfinansowania wydatków Ostatecznego Odbiorcy przedstawianych do rozliczenia Jednostkowej Pożyczki w ramach </w:t>
      </w:r>
      <w:r w:rsidR="007E17E1" w:rsidRPr="00B54F04">
        <w:rPr>
          <w:rFonts w:asciiTheme="minorHAnsi" w:hAnsiTheme="minorHAnsi" w:cstheme="minorHAnsi"/>
        </w:rPr>
        <w:t>tego samego lub różnych funduszy lub instrumentów wsparcia Unii Europejskiej, w jakiejkolwiek formie (w tym dotacji, pożyczki, gwarancji/poręczenia)</w:t>
      </w:r>
      <w:r w:rsidRPr="00B54F04">
        <w:rPr>
          <w:rFonts w:asciiTheme="minorHAnsi" w:hAnsiTheme="minorHAnsi" w:cstheme="minorHAnsi"/>
        </w:rPr>
        <w:t>.</w:t>
      </w:r>
      <w:bookmarkEnd w:id="3"/>
    </w:p>
    <w:p w14:paraId="4A71C7C0" w14:textId="041CA657" w:rsidR="007E17E1" w:rsidRPr="00B54F04" w:rsidRDefault="007E17E1" w:rsidP="00264310">
      <w:pPr>
        <w:pStyle w:val="Nagwek1"/>
        <w:spacing w:after="240"/>
        <w:jc w:val="both"/>
        <w:rPr>
          <w:color w:val="auto"/>
        </w:rPr>
      </w:pPr>
      <w:r w:rsidRPr="00B54F04">
        <w:rPr>
          <w:color w:val="auto"/>
        </w:rPr>
        <w:lastRenderedPageBreak/>
        <w:t xml:space="preserve">Część VI Kwalifikowalność podmiotowa Ostatecznych Odbiorców </w:t>
      </w:r>
    </w:p>
    <w:p w14:paraId="04C856FB" w14:textId="02960695" w:rsidR="00E12964" w:rsidRPr="00B54F04" w:rsidRDefault="00E12964" w:rsidP="00E12964">
      <w:pPr>
        <w:pStyle w:val="Tekstkomentarza"/>
        <w:numPr>
          <w:ilvl w:val="0"/>
          <w:numId w:val="14"/>
        </w:numPr>
        <w:spacing w:after="0" w:line="276" w:lineRule="auto"/>
        <w:ind w:left="284" w:hanging="284"/>
        <w:rPr>
          <w:rFonts w:cs="Calibri"/>
          <w:sz w:val="22"/>
          <w:szCs w:val="22"/>
        </w:rPr>
      </w:pPr>
      <w:r w:rsidRPr="00B54F04">
        <w:rPr>
          <w:rFonts w:asciiTheme="minorHAnsi" w:hAnsiTheme="minorHAnsi" w:cstheme="minorHAnsi"/>
          <w:sz w:val="22"/>
          <w:szCs w:val="22"/>
          <w:lang w:eastAsia="pl-PL"/>
        </w:rPr>
        <w:t>Ostatecznymi Odbiorcami Jednostkowych Pożyczek mogą być</w:t>
      </w:r>
      <w:r w:rsidR="00503E80" w:rsidRPr="00503E80">
        <w:rPr>
          <w:rFonts w:asciiTheme="minorHAnsi" w:hAnsiTheme="minorHAnsi" w:cstheme="minorHAnsi"/>
          <w:color w:val="000000" w:themeColor="text1"/>
          <w:sz w:val="22"/>
          <w:szCs w:val="22"/>
          <w:lang w:eastAsia="pl-PL"/>
        </w:rPr>
        <w:t xml:space="preserve"> </w:t>
      </w:r>
      <w:r w:rsidR="00503E80" w:rsidRPr="00503E80">
        <w:rPr>
          <w:rFonts w:asciiTheme="minorHAnsi" w:hAnsiTheme="minorHAnsi" w:cstheme="minorHAnsi"/>
          <w:sz w:val="22"/>
          <w:szCs w:val="22"/>
          <w:lang w:eastAsia="pl-PL"/>
        </w:rPr>
        <w:t>właściciele/</w:t>
      </w:r>
      <w:r w:rsidRPr="00B54F04">
        <w:rPr>
          <w:rFonts w:asciiTheme="minorHAnsi" w:hAnsiTheme="minorHAnsi" w:cstheme="minorHAnsi"/>
          <w:sz w:val="22"/>
          <w:szCs w:val="22"/>
          <w:lang w:eastAsia="pl-PL"/>
        </w:rPr>
        <w:t xml:space="preserve"> podmioty zarządzające budynkami</w:t>
      </w:r>
      <w:r w:rsidRPr="00B54F04">
        <w:rPr>
          <w:rFonts w:cs="Calibri"/>
          <w:sz w:val="22"/>
          <w:szCs w:val="22"/>
        </w:rPr>
        <w:t xml:space="preserve"> użyteczności publicznej</w:t>
      </w:r>
      <w:r w:rsidR="00503E80" w:rsidRPr="00503E80">
        <w:rPr>
          <w:rFonts w:cs="Calibri"/>
          <w:sz w:val="22"/>
          <w:szCs w:val="22"/>
          <w:vertAlign w:val="superscript"/>
        </w:rPr>
        <w:footnoteReference w:id="5"/>
      </w:r>
      <w:r w:rsidR="00503E80" w:rsidRPr="00503E80">
        <w:rPr>
          <w:rFonts w:cs="Calibri"/>
          <w:sz w:val="22"/>
          <w:szCs w:val="22"/>
        </w:rPr>
        <w:t>,</w:t>
      </w:r>
      <w:r w:rsidRPr="00B54F04">
        <w:rPr>
          <w:rFonts w:cs="Calibri"/>
          <w:sz w:val="22"/>
          <w:szCs w:val="22"/>
        </w:rPr>
        <w:t xml:space="preserve"> w tym</w:t>
      </w:r>
      <w:r w:rsidR="00291F60" w:rsidRPr="00B54F04">
        <w:rPr>
          <w:rFonts w:cs="Calibri"/>
          <w:sz w:val="22"/>
          <w:szCs w:val="22"/>
        </w:rPr>
        <w:t xml:space="preserve"> m.in.</w:t>
      </w:r>
      <w:r w:rsidRPr="00B54F04">
        <w:rPr>
          <w:rFonts w:cs="Calibri"/>
          <w:sz w:val="22"/>
          <w:szCs w:val="22"/>
        </w:rPr>
        <w:t>:</w:t>
      </w:r>
    </w:p>
    <w:p w14:paraId="14BD7E67" w14:textId="77777777"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Jednostki samorządu terytorialnego, ich związki, porozumienia i stowarzyszenia, </w:t>
      </w:r>
    </w:p>
    <w:p w14:paraId="44A6F721" w14:textId="77777777"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Jednostki organizacyjne jednostek samorządu terytorialnego posiadające osobowość prawną, </w:t>
      </w:r>
    </w:p>
    <w:p w14:paraId="5463924A" w14:textId="77777777"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Spółki prawa handlowego, w których większość udziałów lub akcji posiadają jednostki samorządu terytorialnego lub ich związki, </w:t>
      </w:r>
    </w:p>
    <w:p w14:paraId="0AF010E7" w14:textId="77777777"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Podmioty prowadzące działalność oświatową lub ich organy prowadzące, </w:t>
      </w:r>
    </w:p>
    <w:p w14:paraId="36C53699" w14:textId="77777777"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Instytucje kultury, </w:t>
      </w:r>
    </w:p>
    <w:p w14:paraId="46CC6CC4" w14:textId="77777777"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Szpitale i inne podmioty lecznicze prowadzące działalność leczniczą, </w:t>
      </w:r>
    </w:p>
    <w:p w14:paraId="2B75653C" w14:textId="77777777"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Organizacje pozarządowe posiadające osobowość prawną, </w:t>
      </w:r>
    </w:p>
    <w:p w14:paraId="51B973F4" w14:textId="2BAAD98F" w:rsidR="00E12964" w:rsidRPr="00B54F0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 xml:space="preserve">Kościoły i związki wyznaniowe oraz osoby prawne kościołów i związków wyznaniowych, </w:t>
      </w:r>
    </w:p>
    <w:p w14:paraId="52A24A94" w14:textId="6EA9492F" w:rsidR="00E12964" w:rsidRDefault="00E12964" w:rsidP="00E12964">
      <w:pPr>
        <w:pStyle w:val="Tekstkomentarza"/>
        <w:numPr>
          <w:ilvl w:val="0"/>
          <w:numId w:val="41"/>
        </w:numPr>
        <w:spacing w:after="0" w:line="276" w:lineRule="auto"/>
        <w:ind w:left="1134"/>
        <w:rPr>
          <w:rFonts w:cs="Calibri"/>
          <w:sz w:val="22"/>
          <w:szCs w:val="22"/>
        </w:rPr>
      </w:pPr>
      <w:r w:rsidRPr="00B54F04">
        <w:rPr>
          <w:rFonts w:cs="Calibri"/>
          <w:sz w:val="22"/>
          <w:szCs w:val="22"/>
        </w:rPr>
        <w:t>Służby ratownicz</w:t>
      </w:r>
      <w:r w:rsidR="00291F60" w:rsidRPr="00B54F04">
        <w:rPr>
          <w:rFonts w:cs="Calibri"/>
          <w:sz w:val="22"/>
          <w:szCs w:val="22"/>
        </w:rPr>
        <w:t>e i bezpieczeństwa publicznego.</w:t>
      </w:r>
    </w:p>
    <w:p w14:paraId="51B2EFBA" w14:textId="77777777" w:rsidR="00874592" w:rsidRPr="00874592" w:rsidRDefault="00E1251B" w:rsidP="00874592">
      <w:pPr>
        <w:pStyle w:val="Tekstkomentarza"/>
        <w:numPr>
          <w:ilvl w:val="0"/>
          <w:numId w:val="41"/>
        </w:numPr>
        <w:spacing w:after="0" w:line="276" w:lineRule="auto"/>
        <w:ind w:left="1134"/>
        <w:rPr>
          <w:rFonts w:cstheme="minorHAnsi"/>
        </w:rPr>
      </w:pPr>
      <w:r w:rsidRPr="00874592">
        <w:rPr>
          <w:rFonts w:asciiTheme="minorHAnsi" w:hAnsiTheme="minorHAnsi" w:cstheme="minorHAnsi"/>
        </w:rPr>
        <w:t>Spółdzielnie energetyczne</w:t>
      </w:r>
      <w:r>
        <w:rPr>
          <w:rStyle w:val="Odwoanieprzypisudolnego"/>
          <w:rFonts w:asciiTheme="minorHAnsi" w:hAnsiTheme="minorHAnsi" w:cstheme="minorHAnsi"/>
        </w:rPr>
        <w:footnoteReference w:id="6"/>
      </w:r>
      <w:r w:rsidRPr="00874592">
        <w:rPr>
          <w:rFonts w:asciiTheme="minorHAnsi" w:hAnsiTheme="minorHAnsi" w:cstheme="minorHAnsi"/>
        </w:rPr>
        <w:t>, w skład których wchodzi przynajmniej jedna jednostka samorządu terytorialnego,</w:t>
      </w:r>
    </w:p>
    <w:p w14:paraId="0FC798B2" w14:textId="77777777" w:rsidR="00874592" w:rsidRDefault="00E1251B" w:rsidP="00874592">
      <w:pPr>
        <w:pStyle w:val="Tekstkomentarza"/>
        <w:numPr>
          <w:ilvl w:val="0"/>
          <w:numId w:val="41"/>
        </w:numPr>
        <w:spacing w:after="0" w:line="276" w:lineRule="auto"/>
        <w:ind w:left="1134"/>
        <w:rPr>
          <w:rFonts w:cstheme="minorHAnsi"/>
        </w:rPr>
      </w:pPr>
      <w:r w:rsidRPr="00874592">
        <w:rPr>
          <w:rFonts w:cstheme="minorHAnsi"/>
        </w:rPr>
        <w:t xml:space="preserve">Wspólnoty mieszkaniowe – jednostki organizacyjne nieposiadające osobowości prawnej, działające na podstawie ustawy z dnia 24 czerwca 1994 r. o własności lokali; </w:t>
      </w:r>
    </w:p>
    <w:p w14:paraId="68FF7D0F" w14:textId="4A9D4E09" w:rsidR="00E1251B" w:rsidRPr="00874592" w:rsidRDefault="00E1251B" w:rsidP="00874592">
      <w:pPr>
        <w:pStyle w:val="Tekstkomentarza"/>
        <w:numPr>
          <w:ilvl w:val="0"/>
          <w:numId w:val="41"/>
        </w:numPr>
        <w:spacing w:after="0" w:line="276" w:lineRule="auto"/>
        <w:ind w:left="1134"/>
        <w:rPr>
          <w:rFonts w:cstheme="minorHAnsi"/>
        </w:rPr>
      </w:pPr>
      <w:r w:rsidRPr="00874592">
        <w:rPr>
          <w:rFonts w:cstheme="minorHAnsi"/>
        </w:rPr>
        <w:t>spółdzielnie mieszkaniowe</w:t>
      </w:r>
      <w:r w:rsidRPr="00874592">
        <w:rPr>
          <w:rFonts w:asciiTheme="minorHAnsi" w:hAnsiTheme="minorHAnsi" w:cstheme="minorHAnsi"/>
        </w:rPr>
        <w:t xml:space="preserve"> </w:t>
      </w:r>
      <w:r w:rsidRPr="00874592">
        <w:rPr>
          <w:rFonts w:cstheme="minorHAnsi"/>
        </w:rPr>
        <w:t>działające na podstawie ustawy z dnia 16 września 1982 r. – Prawo spółdzielcze oraz ustawy z dnia 15 grudnia 2000 r. o spółdzielniach mieszkaniowych, posiadające osobowość prawną.</w:t>
      </w:r>
    </w:p>
    <w:p w14:paraId="147AE53E" w14:textId="01711A9F" w:rsidR="007E17E1" w:rsidRPr="00B54F04" w:rsidRDefault="007E17E1" w:rsidP="00CF7820">
      <w:pPr>
        <w:pStyle w:val="Default"/>
        <w:numPr>
          <w:ilvl w:val="0"/>
          <w:numId w:val="14"/>
        </w:numPr>
        <w:spacing w:before="120" w:after="120" w:line="276" w:lineRule="auto"/>
        <w:ind w:left="284" w:hanging="284"/>
        <w:rPr>
          <w:rFonts w:asciiTheme="minorHAnsi" w:hAnsiTheme="minorHAnsi" w:cstheme="minorHAnsi"/>
          <w:color w:val="auto"/>
          <w:sz w:val="22"/>
          <w:szCs w:val="22"/>
        </w:rPr>
      </w:pPr>
      <w:r w:rsidRPr="00B54F04">
        <w:rPr>
          <w:rFonts w:asciiTheme="minorHAnsi" w:hAnsiTheme="minorHAnsi" w:cstheme="minorHAnsi"/>
          <w:color w:val="auto"/>
          <w:sz w:val="22"/>
          <w:szCs w:val="22"/>
        </w:rPr>
        <w:t>Podmioty ubiegające się o Jednostkową Pożyczkę muszą spełniać łącznie następujące kryteria:</w:t>
      </w:r>
    </w:p>
    <w:p w14:paraId="49B92EA0" w14:textId="262C46D2" w:rsidR="007E17E1" w:rsidRDefault="007E17E1" w:rsidP="00674B79">
      <w:pPr>
        <w:pStyle w:val="Default"/>
        <w:numPr>
          <w:ilvl w:val="1"/>
          <w:numId w:val="14"/>
        </w:numPr>
        <w:spacing w:before="120" w:after="120" w:line="276" w:lineRule="auto"/>
        <w:rPr>
          <w:rStyle w:val="Odwoaniedokomentarza"/>
          <w:rFonts w:asciiTheme="minorHAnsi" w:hAnsiTheme="minorHAnsi" w:cstheme="minorHAnsi"/>
          <w:color w:val="auto"/>
          <w:sz w:val="22"/>
          <w:szCs w:val="22"/>
        </w:rPr>
      </w:pPr>
      <w:r w:rsidRPr="00B54F04">
        <w:rPr>
          <w:rStyle w:val="Odwoaniedokomentarza"/>
          <w:rFonts w:asciiTheme="minorHAnsi" w:hAnsiTheme="minorHAnsi" w:cstheme="minorHAnsi"/>
          <w:color w:val="auto"/>
          <w:sz w:val="22"/>
          <w:szCs w:val="22"/>
        </w:rPr>
        <w:t>nie spełniają przesłanek przedsiębiorstwa znajdującego się w trudnej sytuacji w rozumieniu art. 7 ust 1 lit. d Rozporządzenia EFRR, za wyjątkiem szczególnych przypadków określonych w tym przepisie</w:t>
      </w:r>
      <w:r w:rsidR="00466D6C" w:rsidRPr="00B54F04">
        <w:rPr>
          <w:rStyle w:val="Odwoaniedokomentarza"/>
          <w:rFonts w:asciiTheme="minorHAnsi" w:hAnsiTheme="minorHAnsi" w:cstheme="minorHAnsi"/>
          <w:color w:val="auto"/>
          <w:sz w:val="22"/>
          <w:szCs w:val="22"/>
        </w:rPr>
        <w:t xml:space="preserve"> (dotyczy przedsiębiorstw)</w:t>
      </w:r>
      <w:r w:rsidRPr="00B54F04">
        <w:rPr>
          <w:rStyle w:val="Odwoaniedokomentarza"/>
          <w:rFonts w:asciiTheme="minorHAnsi" w:hAnsiTheme="minorHAnsi" w:cstheme="minorHAnsi"/>
          <w:color w:val="auto"/>
          <w:sz w:val="22"/>
          <w:szCs w:val="22"/>
        </w:rPr>
        <w:t>;</w:t>
      </w:r>
    </w:p>
    <w:p w14:paraId="603E8551" w14:textId="2ECE5D94" w:rsidR="007E17E1" w:rsidRDefault="007E17E1" w:rsidP="00674B79">
      <w:pPr>
        <w:pStyle w:val="Default"/>
        <w:numPr>
          <w:ilvl w:val="1"/>
          <w:numId w:val="14"/>
        </w:numPr>
        <w:spacing w:before="120" w:after="120" w:line="276" w:lineRule="auto"/>
        <w:rPr>
          <w:rStyle w:val="Odwoaniedokomentarza"/>
          <w:rFonts w:asciiTheme="minorHAnsi" w:hAnsiTheme="minorHAnsi" w:cstheme="minorHAnsi"/>
          <w:color w:val="auto"/>
          <w:sz w:val="22"/>
          <w:szCs w:val="22"/>
        </w:rPr>
      </w:pPr>
      <w:r w:rsidRPr="00674B79">
        <w:rPr>
          <w:rStyle w:val="Odwoaniedokomentarza"/>
          <w:rFonts w:asciiTheme="minorHAnsi" w:hAnsiTheme="minorHAnsi" w:cstheme="minorHAnsi"/>
          <w:color w:val="auto"/>
          <w:sz w:val="22"/>
          <w:szCs w:val="22"/>
        </w:rPr>
        <w:t>nie są podmiotami powiązanymi osobowo lub kapitałowo z Partnerem Finansującym, w rozumieniu § 24 ust. 4 Umowy;</w:t>
      </w:r>
    </w:p>
    <w:p w14:paraId="7F431104" w14:textId="23952C35" w:rsidR="00A111C7" w:rsidRDefault="007E17E1" w:rsidP="00674B79">
      <w:pPr>
        <w:pStyle w:val="Default"/>
        <w:numPr>
          <w:ilvl w:val="1"/>
          <w:numId w:val="14"/>
        </w:numPr>
        <w:spacing w:before="120" w:after="120" w:line="276" w:lineRule="auto"/>
        <w:rPr>
          <w:rStyle w:val="Odwoaniedokomentarza"/>
          <w:rFonts w:asciiTheme="minorHAnsi" w:hAnsiTheme="minorHAnsi" w:cstheme="minorHAnsi"/>
          <w:color w:val="auto"/>
          <w:sz w:val="22"/>
          <w:szCs w:val="22"/>
        </w:rPr>
      </w:pPr>
      <w:r w:rsidRPr="00674B79">
        <w:rPr>
          <w:rStyle w:val="Odwoaniedokomentarza"/>
          <w:rFonts w:asciiTheme="minorHAnsi" w:hAnsiTheme="minorHAnsi" w:cstheme="minorHAnsi"/>
          <w:color w:val="auto"/>
          <w:sz w:val="22"/>
          <w:szCs w:val="22"/>
        </w:rPr>
        <w:t>posiadają tytuł prawny do nieruchomości, na terenie której realizowana będzie Inwestycja Końcowa</w:t>
      </w:r>
      <w:r w:rsidR="00A111C7" w:rsidRPr="00674B79">
        <w:rPr>
          <w:rStyle w:val="Odwoaniedokomentarza"/>
          <w:rFonts w:asciiTheme="minorHAnsi" w:hAnsiTheme="minorHAnsi" w:cstheme="minorHAnsi"/>
          <w:color w:val="auto"/>
          <w:sz w:val="22"/>
          <w:szCs w:val="22"/>
        </w:rPr>
        <w:t>;</w:t>
      </w:r>
    </w:p>
    <w:p w14:paraId="208F2EEF" w14:textId="795EF089" w:rsidR="00674B79" w:rsidRDefault="00674B79" w:rsidP="00674B79">
      <w:pPr>
        <w:pStyle w:val="Default"/>
        <w:numPr>
          <w:ilvl w:val="1"/>
          <w:numId w:val="14"/>
        </w:numPr>
        <w:spacing w:before="120" w:after="120" w:line="276" w:lineRule="auto"/>
        <w:rPr>
          <w:rStyle w:val="Odwoaniedokomentarza"/>
          <w:rFonts w:asciiTheme="minorHAnsi" w:hAnsiTheme="minorHAnsi" w:cstheme="minorHAnsi"/>
          <w:color w:val="auto"/>
          <w:sz w:val="22"/>
          <w:szCs w:val="22"/>
        </w:rPr>
      </w:pPr>
      <w:r w:rsidRPr="00674B79">
        <w:rPr>
          <w:rStyle w:val="Odwoaniedokomentarza"/>
          <w:rFonts w:asciiTheme="minorHAnsi" w:hAnsiTheme="minorHAnsi" w:cstheme="minorHAnsi"/>
          <w:color w:val="auto"/>
          <w:sz w:val="22"/>
          <w:szCs w:val="22"/>
        </w:rPr>
        <w:t>najpóźniej w dniu zawarcia Umowy Inwestycyjnej posiadają w województwie świętokrzyskim siedzibę, zakład lub oddział, zgodnie z wpisem w Krajowym Rejestrze Sądowym lub innym właściwym rejestrze prowadzonym dla danego typu podmiotu (jeśli dotyczy) albo stałe lub dodatkowe stałe miejsce wykonywania działalności gospodarczej, zgodnie z wpisem do Centralnej Ewidencji i Informacji o Działalności Gospodarczej;</w:t>
      </w:r>
    </w:p>
    <w:p w14:paraId="77EA9EC3" w14:textId="4553B72A" w:rsidR="00695F4B" w:rsidRPr="00674B79" w:rsidRDefault="0056657C" w:rsidP="00674B79">
      <w:pPr>
        <w:pStyle w:val="Default"/>
        <w:numPr>
          <w:ilvl w:val="1"/>
          <w:numId w:val="14"/>
        </w:numPr>
        <w:spacing w:before="120" w:after="120" w:line="276" w:lineRule="auto"/>
        <w:rPr>
          <w:rStyle w:val="Odwoaniedokomentarza"/>
          <w:rFonts w:asciiTheme="minorHAnsi" w:hAnsiTheme="minorHAnsi" w:cstheme="minorHAnsi"/>
          <w:color w:val="auto"/>
          <w:sz w:val="22"/>
          <w:szCs w:val="22"/>
        </w:rPr>
      </w:pPr>
      <w:r w:rsidRPr="00674B79">
        <w:rPr>
          <w:rStyle w:val="Odwoaniedokomentarza"/>
          <w:rFonts w:asciiTheme="minorHAnsi" w:hAnsiTheme="minorHAnsi" w:cstheme="minorHAnsi"/>
          <w:color w:val="auto"/>
          <w:sz w:val="22"/>
          <w:szCs w:val="22"/>
        </w:rPr>
        <w:lastRenderedPageBreak/>
        <w:t>nie podlegają środkom</w:t>
      </w:r>
      <w:r w:rsidR="006F4073" w:rsidRPr="00674B79">
        <w:rPr>
          <w:rStyle w:val="Odwoaniedokomentarza"/>
          <w:rFonts w:asciiTheme="minorHAnsi" w:hAnsiTheme="minorHAnsi" w:cstheme="minorHAnsi"/>
          <w:color w:val="auto"/>
          <w:sz w:val="22"/>
          <w:szCs w:val="22"/>
        </w:rPr>
        <w:t>,</w:t>
      </w:r>
      <w:r w:rsidRPr="00674B79">
        <w:rPr>
          <w:rStyle w:val="Odwoaniedokomentarza"/>
          <w:rFonts w:asciiTheme="minorHAnsi" w:hAnsiTheme="minorHAnsi" w:cstheme="minorHAnsi"/>
          <w:color w:val="auto"/>
          <w:sz w:val="22"/>
          <w:szCs w:val="22"/>
        </w:rPr>
        <w:t xml:space="preserve"> o których mowa w art. 1 ustawy z dnia 13 kwietnia 2022 r. o szczególnych rozwiązaniach w zakresie przeciwdziałania wspieraniu agresji na Ukrainę oraz służących ochronie bezpieczeństwa narodowego (Dz. U. 2023 poz. 1497 z </w:t>
      </w:r>
      <w:proofErr w:type="spellStart"/>
      <w:r w:rsidRPr="00674B79">
        <w:rPr>
          <w:rStyle w:val="Odwoaniedokomentarza"/>
          <w:rFonts w:asciiTheme="minorHAnsi" w:hAnsiTheme="minorHAnsi" w:cstheme="minorHAnsi"/>
          <w:color w:val="auto"/>
          <w:sz w:val="22"/>
          <w:szCs w:val="22"/>
        </w:rPr>
        <w:t>późń</w:t>
      </w:r>
      <w:proofErr w:type="spellEnd"/>
      <w:r w:rsidRPr="00674B79">
        <w:rPr>
          <w:rStyle w:val="Odwoaniedokomentarza"/>
          <w:rFonts w:asciiTheme="minorHAnsi" w:hAnsiTheme="minorHAnsi" w:cstheme="minorHAnsi"/>
          <w:color w:val="auto"/>
          <w:sz w:val="22"/>
          <w:szCs w:val="22"/>
        </w:rPr>
        <w:t xml:space="preserve">. zm.) polegającym na zakazie udostępniania osobie lub podmiotowi lub na ich rzecz – bezpośrednio lub pośrednio </w:t>
      </w:r>
      <w:r w:rsidR="006366F7" w:rsidRPr="00674B79">
        <w:rPr>
          <w:rStyle w:val="Odwoaniedokomentarza"/>
          <w:rFonts w:asciiTheme="minorHAnsi" w:hAnsiTheme="minorHAnsi" w:cstheme="minorHAnsi"/>
          <w:color w:val="auto"/>
          <w:sz w:val="22"/>
          <w:szCs w:val="22"/>
        </w:rPr>
        <w:t>–</w:t>
      </w:r>
      <w:r w:rsidRPr="00674B79">
        <w:rPr>
          <w:rStyle w:val="Odwoaniedokomentarza"/>
          <w:rFonts w:asciiTheme="minorHAnsi" w:hAnsiTheme="minorHAnsi" w:cstheme="minorHAnsi"/>
          <w:color w:val="auto"/>
          <w:sz w:val="22"/>
          <w:szCs w:val="22"/>
        </w:rPr>
        <w:t xml:space="preserve"> jakichkolwiek środków finansowych lub zasobów gospodarczych</w:t>
      </w:r>
      <w:r w:rsidR="00695F4B" w:rsidRPr="00674B79">
        <w:rPr>
          <w:rStyle w:val="Odwoaniedokomentarza"/>
          <w:rFonts w:asciiTheme="minorHAnsi" w:hAnsiTheme="minorHAnsi" w:cstheme="minorHAnsi"/>
          <w:color w:val="auto"/>
          <w:sz w:val="22"/>
          <w:szCs w:val="22"/>
        </w:rPr>
        <w:t>.</w:t>
      </w:r>
    </w:p>
    <w:p w14:paraId="57E4A786" w14:textId="1BBCD305" w:rsidR="001327AA" w:rsidRPr="00B54F04" w:rsidRDefault="001327AA" w:rsidP="00264310">
      <w:pPr>
        <w:pStyle w:val="Nagwek1"/>
        <w:spacing w:after="240"/>
        <w:jc w:val="both"/>
        <w:rPr>
          <w:color w:val="auto"/>
        </w:rPr>
      </w:pPr>
      <w:r w:rsidRPr="00B54F04">
        <w:rPr>
          <w:color w:val="auto"/>
        </w:rPr>
        <w:t xml:space="preserve">Część </w:t>
      </w:r>
      <w:r w:rsidR="00EF2C70">
        <w:rPr>
          <w:color w:val="auto"/>
        </w:rPr>
        <w:t>VII</w:t>
      </w:r>
      <w:r w:rsidR="00EF2C70" w:rsidRPr="00B54F04">
        <w:rPr>
          <w:color w:val="auto"/>
        </w:rPr>
        <w:t xml:space="preserve"> </w:t>
      </w:r>
      <w:r w:rsidRPr="00B54F04">
        <w:rPr>
          <w:color w:val="auto"/>
        </w:rPr>
        <w:t xml:space="preserve">Podstawowe zasady </w:t>
      </w:r>
      <w:r w:rsidR="006E708E" w:rsidRPr="00B54F04">
        <w:rPr>
          <w:color w:val="auto"/>
        </w:rPr>
        <w:t>udzielania Jednostkowej Pożyczki</w:t>
      </w:r>
    </w:p>
    <w:p w14:paraId="2A0C69B4" w14:textId="77777777" w:rsidR="006E708E" w:rsidRPr="00B54F04" w:rsidRDefault="006E708E"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Wnioskodawca składając Wniosek proponuje formę zabezpieczenia spośród katalogu stosowanego przez Partnera Finansującego. Przyjęte zabezpieczenia są adekwatne do wartości Jednostkowej Pożyczki, a także przedmiotu i charakteru Inwestycji Końcowej, formy prawnej Ostatecznego Odbiorcy i jego działalności oraz wyników oceny Wniosku. Przykładowo zabezpieczeniem może być weksel własny in blanco Ostatecznego Odbiorcy wraz z innymi zabezpieczeniami zaakceptowanymi przez Partnera Finansującego, np.:</w:t>
      </w:r>
    </w:p>
    <w:p w14:paraId="38634C0E" w14:textId="17E06BAB" w:rsidR="006E708E" w:rsidRPr="00B54F04" w:rsidRDefault="006E708E" w:rsidP="00CF7820">
      <w:pPr>
        <w:pStyle w:val="Akapitzlist"/>
        <w:numPr>
          <w:ilvl w:val="0"/>
          <w:numId w:val="30"/>
        </w:numPr>
        <w:spacing w:before="120" w:after="120"/>
        <w:ind w:left="1134" w:hanging="283"/>
        <w:contextualSpacing w:val="0"/>
        <w:rPr>
          <w:rFonts w:asciiTheme="minorHAnsi" w:hAnsiTheme="minorHAnsi" w:cstheme="minorHAnsi"/>
        </w:rPr>
      </w:pPr>
      <w:r w:rsidRPr="00B54F04">
        <w:rPr>
          <w:rFonts w:asciiTheme="minorHAnsi" w:hAnsiTheme="minorHAnsi" w:cstheme="minorHAnsi"/>
        </w:rPr>
        <w:t>przelew (cesja) praw z polisy ubezpieczeniowej nieruchomości będącej przedmiotem Inwestycji Końcowej;</w:t>
      </w:r>
    </w:p>
    <w:p w14:paraId="642BC33D" w14:textId="77777777" w:rsidR="006E708E" w:rsidRPr="00B54F04" w:rsidRDefault="006E708E" w:rsidP="00CF7820">
      <w:pPr>
        <w:pStyle w:val="Akapitzlist"/>
        <w:numPr>
          <w:ilvl w:val="0"/>
          <w:numId w:val="30"/>
        </w:numPr>
        <w:spacing w:before="120" w:after="120"/>
        <w:ind w:left="1134" w:hanging="283"/>
        <w:contextualSpacing w:val="0"/>
        <w:rPr>
          <w:rFonts w:asciiTheme="minorHAnsi" w:hAnsiTheme="minorHAnsi" w:cstheme="minorHAnsi"/>
        </w:rPr>
      </w:pPr>
      <w:r w:rsidRPr="00B54F04">
        <w:rPr>
          <w:rFonts w:asciiTheme="minorHAnsi" w:hAnsiTheme="minorHAnsi" w:cstheme="minorHAnsi"/>
        </w:rPr>
        <w:t>pełnomocnictwo/upoważnienie do rachunku bankowego;</w:t>
      </w:r>
    </w:p>
    <w:p w14:paraId="7DEDDB84" w14:textId="66FF7492" w:rsidR="006E708E" w:rsidRPr="00B54F04" w:rsidRDefault="006E708E" w:rsidP="00CF7820">
      <w:pPr>
        <w:pStyle w:val="Akapitzlist"/>
        <w:numPr>
          <w:ilvl w:val="0"/>
          <w:numId w:val="30"/>
        </w:numPr>
        <w:spacing w:before="120" w:after="120"/>
        <w:ind w:left="1134" w:hanging="283"/>
        <w:contextualSpacing w:val="0"/>
        <w:rPr>
          <w:rFonts w:asciiTheme="minorHAnsi" w:hAnsiTheme="minorHAnsi" w:cstheme="minorHAnsi"/>
        </w:rPr>
      </w:pPr>
      <w:r w:rsidRPr="00B54F04">
        <w:rPr>
          <w:rFonts w:asciiTheme="minorHAnsi" w:hAnsiTheme="minorHAnsi" w:cstheme="minorHAnsi"/>
        </w:rPr>
        <w:t>inne, zgodne z praktyką rynkową (np.: hipoteka na nieruchomości</w:t>
      </w:r>
      <w:r w:rsidRPr="00B54F04">
        <w:rPr>
          <w:rFonts w:asciiTheme="minorHAnsi" w:hAnsiTheme="minorHAnsi" w:cstheme="minorHAnsi"/>
          <w:vertAlign w:val="superscript"/>
        </w:rPr>
        <w:footnoteReference w:id="7"/>
      </w:r>
      <w:r w:rsidRPr="00B54F04">
        <w:rPr>
          <w:rFonts w:asciiTheme="minorHAnsi" w:hAnsiTheme="minorHAnsi" w:cstheme="minorHAnsi"/>
        </w:rPr>
        <w:t>, zastaw rejestrowy, przelew (cesja) wierzytelności z umowy najmu lub innych umów, gwarancja bankowa, poręczenie, oświadczenie o poddaniu się egzekucji w trybie aktu notarialnego).</w:t>
      </w:r>
    </w:p>
    <w:p w14:paraId="4D67495E" w14:textId="77777777" w:rsidR="00B10D03" w:rsidRPr="00B54F04" w:rsidRDefault="00B10D03" w:rsidP="00CF7820">
      <w:pPr>
        <w:spacing w:before="120" w:after="120"/>
        <w:ind w:left="851"/>
        <w:jc w:val="both"/>
        <w:rPr>
          <w:rFonts w:asciiTheme="minorHAnsi" w:hAnsiTheme="minorHAnsi" w:cstheme="minorHAnsi"/>
        </w:rPr>
      </w:pPr>
      <w:r w:rsidRPr="00B54F04">
        <w:rPr>
          <w:rFonts w:asciiTheme="minorHAnsi" w:hAnsiTheme="minorHAnsi" w:cstheme="minorHAnsi"/>
        </w:rPr>
        <w:t>W przypadku jednostek samorządu terytorialnego wystarczającym zabezpieczeniem spłaty Jednostkowej Pożyczki może być weksel własny in blanco składany z deklaracją wekslową opatrzoną kontrasygnatą skarbnika.</w:t>
      </w:r>
    </w:p>
    <w:p w14:paraId="3EE06D46" w14:textId="72C5BEDE" w:rsidR="006E708E" w:rsidRPr="00B54F04" w:rsidRDefault="006E708E"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 xml:space="preserve">Ustanowienie zabezpieczenia Jednostkowej Pożyczki jest obowiązkowe i stanowi warunek jej </w:t>
      </w:r>
      <w:r w:rsidR="00756F12" w:rsidRPr="00B54F04">
        <w:rPr>
          <w:rFonts w:asciiTheme="minorHAnsi" w:hAnsiTheme="minorHAnsi" w:cstheme="minorHAnsi"/>
        </w:rPr>
        <w:t>uruchomienia</w:t>
      </w:r>
      <w:r w:rsidR="004A2851" w:rsidRPr="00B54F04">
        <w:rPr>
          <w:rFonts w:asciiTheme="minorHAnsi" w:hAnsiTheme="minorHAnsi" w:cstheme="minorHAnsi"/>
        </w:rPr>
        <w:t xml:space="preserve"> (w rozumieniu wskazanym w pkt 5), z zastrzeżeniem pkt </w:t>
      </w:r>
      <w:r w:rsidR="004356BA">
        <w:rPr>
          <w:rFonts w:asciiTheme="minorHAnsi" w:hAnsiTheme="minorHAnsi" w:cstheme="minorHAnsi"/>
        </w:rPr>
        <w:t>3</w:t>
      </w:r>
      <w:r w:rsidRPr="00B54F04">
        <w:rPr>
          <w:rFonts w:asciiTheme="minorHAnsi" w:hAnsiTheme="minorHAnsi" w:cstheme="minorHAnsi"/>
        </w:rPr>
        <w:t>.</w:t>
      </w:r>
    </w:p>
    <w:p w14:paraId="42CCFD62" w14:textId="77777777" w:rsidR="006E708E" w:rsidRPr="00B54F04" w:rsidRDefault="006E708E"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Wypłata Jednostkowej Pożyczki następuje, co do zasady, po ustanowieniu zabezpieczeń jej spłaty. W przypadku, gdy specyfika przeznaczenia Jednostkowej Pożyczki nie pozwala na ustanowienie zabezpieczenia przed wypłatą środków pożyczki (np. zabezpieczenie na przedmiocie finansowania może być ustanowione wyłącznie po zapłacie za ten przedmiot), Partner Finansujący może zrealizować wypłatę na rzecz kontrahenta Ostatecznego Odbiorcy na podstawie przedłożonej mu faktury lub dokumentu o równoważnej wartości dowodowej, z zastrzeżeniem obowiązku ustanowienia ww. zabezpieczenia niezwłocznie po tym jak stanie się to możliwe, lub zobowiązuje Ostatecznego Odbiorcę do ustanowienia zabezpieczenia przejściowego do czasu ustanowienia zabezpieczenia docelowego. Decyzja w tym zakresie należy do Partnera Finansującego, który indywidualnie ocenia każdy przypadek.</w:t>
      </w:r>
    </w:p>
    <w:p w14:paraId="4D21621B" w14:textId="77777777" w:rsidR="006E708E" w:rsidRPr="00B54F04" w:rsidRDefault="006E708E"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lastRenderedPageBreak/>
        <w:t>Udzielenie Jednostkowej Pożyczki nie może być uzależnione od zawarcia przez Ostatecznego Odbiorcę z Partnerem Finansującym ani z podmiotem partnerskim lub powiązanym w stosunku do Partnera Finansującego dodatkowych umów, w szczególności na zakup dodatkowych usług, produktów finansowych lub ubezpieczeniowych. Powyższe nie dotyczy powszechnie występujących na rynku oraz standardowo stosowanych przez Partnera Finansującego zabezpieczeń, ustanawianych przez Ostatecznego Odbiorcę na rzecz Partnera Finansującego w związku z zawieraną Umową Inwestycyjną, z zastrzeżeniem, iż w przypadku zabezpieczenia takiego jak cesja praw z polisy ubezpieczeniowej Ostateczny Odbiorca ma możliwość wyboru oferty spośród ubezpieczycieli dostępnych na rynku.</w:t>
      </w:r>
    </w:p>
    <w:p w14:paraId="595C7F61" w14:textId="26BD5D98" w:rsidR="0025568F" w:rsidRPr="00B54F04" w:rsidRDefault="0025568F"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 xml:space="preserve">Termin na uruchomienie Jednostkowej Pożyczki (rozumiane jako pierwsza płatność do Ostatecznego Odbiorcy lub do kontrahenta) wynosi </w:t>
      </w:r>
      <w:r w:rsidR="00167B04" w:rsidRPr="00B54F04">
        <w:rPr>
          <w:rFonts w:asciiTheme="minorHAnsi" w:hAnsiTheme="minorHAnsi" w:cstheme="minorHAnsi"/>
        </w:rPr>
        <w:t>90</w:t>
      </w:r>
      <w:r w:rsidR="005F389F" w:rsidRPr="00B54F04">
        <w:rPr>
          <w:rFonts w:asciiTheme="minorHAnsi" w:hAnsiTheme="minorHAnsi" w:cstheme="minorHAnsi"/>
        </w:rPr>
        <w:t xml:space="preserve"> </w:t>
      </w:r>
      <w:r w:rsidRPr="00B54F04">
        <w:rPr>
          <w:rFonts w:asciiTheme="minorHAnsi" w:hAnsiTheme="minorHAnsi" w:cstheme="minorHAnsi"/>
        </w:rPr>
        <w:t>dni od dnia zawarcia Umowy Inwestycyjnej.</w:t>
      </w:r>
    </w:p>
    <w:p w14:paraId="4C8F8960" w14:textId="6D0F4F4B" w:rsidR="0025568F" w:rsidRPr="00B54F04" w:rsidRDefault="0025568F"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 xml:space="preserve">Wydatkowanie wszystkich środków Jednostkowej Pożyczki na przewidziane cele (bez względu na sposób uruchamiania pożyczki) musi zostać należycie udokumentowane w terminie </w:t>
      </w:r>
      <w:r w:rsidR="00167B04" w:rsidRPr="00B54F04">
        <w:rPr>
          <w:rFonts w:asciiTheme="minorHAnsi" w:hAnsiTheme="minorHAnsi" w:cstheme="minorHAnsi"/>
        </w:rPr>
        <w:t>180</w:t>
      </w:r>
      <w:r w:rsidR="00AA5204" w:rsidRPr="00B54F04">
        <w:rPr>
          <w:rFonts w:asciiTheme="minorHAnsi" w:hAnsiTheme="minorHAnsi" w:cstheme="minorHAnsi"/>
        </w:rPr>
        <w:t xml:space="preserve"> </w:t>
      </w:r>
      <w:r w:rsidRPr="00B54F04">
        <w:rPr>
          <w:rFonts w:asciiTheme="minorHAnsi" w:hAnsiTheme="minorHAnsi" w:cstheme="minorHAnsi"/>
        </w:rPr>
        <w:t xml:space="preserve">dni od dnia uruchomienia Jednostkowej Pożyczki (w rozumieniu wskazanym w pkt </w:t>
      </w:r>
      <w:r w:rsidR="00F33734" w:rsidRPr="00B54F04">
        <w:rPr>
          <w:rFonts w:asciiTheme="minorHAnsi" w:hAnsiTheme="minorHAnsi" w:cstheme="minorHAnsi"/>
        </w:rPr>
        <w:t>5</w:t>
      </w:r>
      <w:r w:rsidRPr="00B54F04">
        <w:rPr>
          <w:rFonts w:asciiTheme="minorHAnsi" w:hAnsiTheme="minorHAnsi" w:cstheme="minorHAnsi"/>
        </w:rPr>
        <w:t xml:space="preserve">), przy czym termin ten określa datę końcową, do której mogą być wystawiane </w:t>
      </w:r>
      <w:r w:rsidR="00994AA0" w:rsidRPr="00B54F04">
        <w:rPr>
          <w:rFonts w:asciiTheme="minorHAnsi" w:hAnsiTheme="minorHAnsi" w:cstheme="minorHAnsi"/>
        </w:rPr>
        <w:t xml:space="preserve">i opłacone </w:t>
      </w:r>
      <w:r w:rsidRPr="00B54F04">
        <w:rPr>
          <w:rFonts w:asciiTheme="minorHAnsi" w:hAnsiTheme="minorHAnsi" w:cstheme="minorHAnsi"/>
        </w:rPr>
        <w:t xml:space="preserve">dokumenty potwierdzające wydatkowanie środków. W wyjątkowych i odpowiednio uzasadnionych przypadkach, w tym biorąc pod uwagę charakter Inwestycji Końcowej, na wniosek Ostatecznego Odbiorcy, Partner Finansujący może wydłużyć ten termin maksymalnie o </w:t>
      </w:r>
      <w:r w:rsidR="004B64F1" w:rsidRPr="00B54F04">
        <w:rPr>
          <w:rFonts w:asciiTheme="minorHAnsi" w:hAnsiTheme="minorHAnsi" w:cstheme="minorHAnsi"/>
        </w:rPr>
        <w:t xml:space="preserve">90 </w:t>
      </w:r>
      <w:r w:rsidRPr="00B54F04">
        <w:rPr>
          <w:rFonts w:asciiTheme="minorHAnsi" w:hAnsiTheme="minorHAnsi" w:cstheme="minorHAnsi"/>
        </w:rPr>
        <w:t xml:space="preserve">dni. </w:t>
      </w:r>
    </w:p>
    <w:p w14:paraId="31BA544A" w14:textId="3371FD91" w:rsidR="006E277B" w:rsidRPr="00B54F04" w:rsidRDefault="0025568F" w:rsidP="00CF7820">
      <w:pPr>
        <w:pStyle w:val="Akapitzlist"/>
        <w:numPr>
          <w:ilvl w:val="0"/>
          <w:numId w:val="4"/>
        </w:numPr>
        <w:spacing w:before="120" w:after="120"/>
        <w:ind w:left="782" w:hanging="357"/>
        <w:contextualSpacing w:val="0"/>
        <w:rPr>
          <w:rFonts w:asciiTheme="minorHAnsi" w:hAnsiTheme="minorHAnsi" w:cstheme="minorHAnsi"/>
        </w:rPr>
      </w:pPr>
      <w:r w:rsidRPr="00B54F04">
        <w:rPr>
          <w:rFonts w:asciiTheme="minorHAnsi" w:hAnsiTheme="minorHAnsi" w:cstheme="minorHAnsi"/>
        </w:rPr>
        <w:t xml:space="preserve">Dokumentem potwierdzającym </w:t>
      </w:r>
      <w:bookmarkStart w:id="4" w:name="_Hlk160088336"/>
      <w:r w:rsidRPr="00B54F04">
        <w:rPr>
          <w:rFonts w:asciiTheme="minorHAnsi" w:hAnsiTheme="minorHAnsi" w:cstheme="minorHAnsi"/>
        </w:rPr>
        <w:t>wydatkowanie środków zgodnie z przeznaczeniem, na jakie zostały przyznane</w:t>
      </w:r>
      <w:bookmarkEnd w:id="4"/>
      <w:r w:rsidRPr="00B54F04">
        <w:rPr>
          <w:rFonts w:asciiTheme="minorHAnsi" w:hAnsiTheme="minorHAnsi" w:cstheme="minorHAnsi"/>
        </w:rPr>
        <w:t xml:space="preserve"> jest faktura lub dokument księgowy o równoważnej wartości dowodowej, wraz z dokumentem</w:t>
      </w:r>
      <w:r w:rsidR="00E435B1" w:rsidRPr="00B54F04">
        <w:rPr>
          <w:rFonts w:asciiTheme="minorHAnsi" w:hAnsiTheme="minorHAnsi" w:cstheme="minorHAnsi"/>
        </w:rPr>
        <w:t>/dowodem</w:t>
      </w:r>
      <w:r w:rsidRPr="00B54F04">
        <w:rPr>
          <w:rFonts w:asciiTheme="minorHAnsi" w:hAnsiTheme="minorHAnsi" w:cstheme="minorHAnsi"/>
        </w:rPr>
        <w:t xml:space="preserve"> potwierdzającym dokonanie zapłaty. </w:t>
      </w:r>
      <w:r w:rsidR="006E277B" w:rsidRPr="00B54F04">
        <w:rPr>
          <w:rFonts w:asciiTheme="minorHAnsi" w:hAnsiTheme="minorHAnsi" w:cstheme="minorHAnsi"/>
        </w:rPr>
        <w:t>Dokument, o którym mowa w zdaniu poprzednim powinien być wystawiony nie wcześniej niż w dniu złożenia wniosku o udzielenie Jednostkowej Pożyczki, z zastrzeżeniem spełnienia warunku określonego w Części I</w:t>
      </w:r>
      <w:r w:rsidR="00FC5BA1">
        <w:rPr>
          <w:rFonts w:asciiTheme="minorHAnsi" w:hAnsiTheme="minorHAnsi" w:cstheme="minorHAnsi"/>
        </w:rPr>
        <w:t>II</w:t>
      </w:r>
      <w:r w:rsidR="006E277B" w:rsidRPr="00B54F04">
        <w:rPr>
          <w:rFonts w:asciiTheme="minorHAnsi" w:hAnsiTheme="minorHAnsi" w:cstheme="minorHAnsi"/>
        </w:rPr>
        <w:t xml:space="preserve"> pkt 4 (nie dotyczy </w:t>
      </w:r>
      <w:r w:rsidR="00F337F4" w:rsidRPr="00B54F04">
        <w:rPr>
          <w:rFonts w:asciiTheme="minorHAnsi" w:hAnsiTheme="minorHAnsi" w:cstheme="minorHAnsi"/>
        </w:rPr>
        <w:t>wydatków wskazanych w Części I</w:t>
      </w:r>
      <w:r w:rsidR="00E15328">
        <w:rPr>
          <w:rFonts w:asciiTheme="minorHAnsi" w:hAnsiTheme="minorHAnsi" w:cstheme="minorHAnsi"/>
        </w:rPr>
        <w:t>II</w:t>
      </w:r>
      <w:r w:rsidR="00F337F4" w:rsidRPr="00B54F04">
        <w:rPr>
          <w:rFonts w:asciiTheme="minorHAnsi" w:hAnsiTheme="minorHAnsi" w:cstheme="minorHAnsi"/>
        </w:rPr>
        <w:t xml:space="preserve"> pkt 2 </w:t>
      </w:r>
      <w:r w:rsidR="00D9739A" w:rsidRPr="00B54F04">
        <w:rPr>
          <w:rFonts w:asciiTheme="minorHAnsi" w:hAnsiTheme="minorHAnsi" w:cstheme="minorHAnsi"/>
        </w:rPr>
        <w:t>lit b</w:t>
      </w:r>
      <w:r w:rsidR="00162537" w:rsidRPr="00B54F04">
        <w:rPr>
          <w:rFonts w:asciiTheme="minorHAnsi" w:hAnsiTheme="minorHAnsi" w:cstheme="minorHAnsi"/>
        </w:rPr>
        <w:t>)</w:t>
      </w:r>
      <w:r w:rsidR="006E277B" w:rsidRPr="00B54F04">
        <w:rPr>
          <w:rFonts w:asciiTheme="minorHAnsi" w:hAnsiTheme="minorHAnsi" w:cstheme="minorHAnsi"/>
        </w:rPr>
        <w:t xml:space="preserve">. </w:t>
      </w:r>
    </w:p>
    <w:p w14:paraId="795442E9" w14:textId="631A9A6D" w:rsidR="0025568F" w:rsidRPr="00B54F04" w:rsidRDefault="0025568F"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Wraz z dokumentami, o których mowa w pkt</w:t>
      </w:r>
      <w:r w:rsidR="00E15328">
        <w:rPr>
          <w:rFonts w:asciiTheme="minorHAnsi" w:hAnsiTheme="minorHAnsi" w:cstheme="minorHAnsi"/>
        </w:rPr>
        <w:t xml:space="preserve"> 7</w:t>
      </w:r>
      <w:r w:rsidRPr="00B54F04">
        <w:rPr>
          <w:rFonts w:asciiTheme="minorHAnsi" w:hAnsiTheme="minorHAnsi" w:cstheme="minorHAnsi"/>
        </w:rPr>
        <w:t xml:space="preserve">, Partner Finansujący pozyskuje od Ostatecznego Odbiorcy informacje na temat wysokości wniesionego przez niego wkładu własnego do Inwestycji Końcowej (jeśli został wniesiony). Informacja ta może zostać pozyskana przez Partnera Finansującego w formie </w:t>
      </w:r>
      <w:r w:rsidR="000039CC" w:rsidRPr="00B54F04">
        <w:rPr>
          <w:rFonts w:asciiTheme="minorHAnsi" w:hAnsiTheme="minorHAnsi" w:cstheme="minorHAnsi"/>
        </w:rPr>
        <w:t xml:space="preserve">dokumentów, o których mowa w pkt </w:t>
      </w:r>
      <w:r w:rsidR="00BB1CAF">
        <w:rPr>
          <w:rFonts w:asciiTheme="minorHAnsi" w:hAnsiTheme="minorHAnsi" w:cstheme="minorHAnsi"/>
        </w:rPr>
        <w:t>7</w:t>
      </w:r>
      <w:r w:rsidRPr="00B54F04">
        <w:rPr>
          <w:rFonts w:asciiTheme="minorHAnsi" w:hAnsiTheme="minorHAnsi" w:cstheme="minorHAnsi"/>
        </w:rPr>
        <w:t>.</w:t>
      </w:r>
    </w:p>
    <w:p w14:paraId="3097D543" w14:textId="77777777" w:rsidR="0025568F" w:rsidRPr="00B54F04" w:rsidRDefault="0025568F"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W przypadku dokonywania w ramach Inwestycji Końcowej płatności w formie gotówkowej, płatności takie muszą być dokonywane z poszanowaniem art. 19 Ustawy z dnia 6 marca 2018 r. Prawo przedsiębiorców lub aktu zastępującego, pod rygorem uznania tego rodzaju płatności jako wydatki niekwalifikowalne.</w:t>
      </w:r>
    </w:p>
    <w:p w14:paraId="4BDD457A" w14:textId="0D6A7229" w:rsidR="0025568F" w:rsidRPr="00B54F04" w:rsidRDefault="0025568F"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 xml:space="preserve">Partner Finansujący przyjmuje od Ostatecznego Odbiorcy dokumenty, o których mowa w pkt </w:t>
      </w:r>
      <w:r w:rsidR="00BB1CAF">
        <w:rPr>
          <w:rFonts w:asciiTheme="minorHAnsi" w:hAnsiTheme="minorHAnsi" w:cstheme="minorHAnsi"/>
        </w:rPr>
        <w:t>7</w:t>
      </w:r>
      <w:r w:rsidR="00BB1CAF" w:rsidRPr="00B54F04">
        <w:rPr>
          <w:rFonts w:asciiTheme="minorHAnsi" w:hAnsiTheme="minorHAnsi" w:cstheme="minorHAnsi"/>
        </w:rPr>
        <w:t xml:space="preserve"> </w:t>
      </w:r>
      <w:r w:rsidRPr="00B54F04">
        <w:rPr>
          <w:rFonts w:asciiTheme="minorHAnsi" w:hAnsiTheme="minorHAnsi" w:cstheme="minorHAnsi"/>
        </w:rPr>
        <w:t xml:space="preserve">i informacje, o których mowa w pkt </w:t>
      </w:r>
      <w:r w:rsidR="0075101F">
        <w:rPr>
          <w:rFonts w:asciiTheme="minorHAnsi" w:hAnsiTheme="minorHAnsi" w:cstheme="minorHAnsi"/>
        </w:rPr>
        <w:t>8</w:t>
      </w:r>
      <w:r w:rsidR="0031615E" w:rsidRPr="00B54F04">
        <w:rPr>
          <w:rFonts w:asciiTheme="minorHAnsi" w:hAnsiTheme="minorHAnsi" w:cstheme="minorHAnsi"/>
        </w:rPr>
        <w:t xml:space="preserve"> </w:t>
      </w:r>
      <w:r w:rsidRPr="00B54F04">
        <w:rPr>
          <w:rFonts w:asciiTheme="minorHAnsi" w:hAnsiTheme="minorHAnsi" w:cstheme="minorHAnsi"/>
        </w:rPr>
        <w:t xml:space="preserve">oraz – w ciągu 20 dni od upływu terminu wskazanego w pkt </w:t>
      </w:r>
      <w:r w:rsidR="0031615E" w:rsidRPr="00B54F04">
        <w:rPr>
          <w:rFonts w:asciiTheme="minorHAnsi" w:hAnsiTheme="minorHAnsi" w:cstheme="minorHAnsi"/>
        </w:rPr>
        <w:t xml:space="preserve">6 </w:t>
      </w:r>
      <w:r w:rsidRPr="00B54F04">
        <w:rPr>
          <w:rFonts w:asciiTheme="minorHAnsi" w:hAnsiTheme="minorHAnsi" w:cstheme="minorHAnsi"/>
        </w:rPr>
        <w:t xml:space="preserve">– dokonuje ich weryfikacji i wpisania do </w:t>
      </w:r>
      <w:proofErr w:type="spellStart"/>
      <w:r w:rsidRPr="00B54F04">
        <w:rPr>
          <w:rFonts w:asciiTheme="minorHAnsi" w:hAnsiTheme="minorHAnsi" w:cstheme="minorHAnsi"/>
        </w:rPr>
        <w:t>SZFEiK</w:t>
      </w:r>
      <w:proofErr w:type="spellEnd"/>
      <w:r w:rsidRPr="00B54F04">
        <w:rPr>
          <w:rFonts w:asciiTheme="minorHAnsi" w:hAnsiTheme="minorHAnsi" w:cstheme="minorHAnsi"/>
        </w:rPr>
        <w:t xml:space="preserve">. </w:t>
      </w:r>
    </w:p>
    <w:p w14:paraId="1AF02748" w14:textId="77777777" w:rsidR="004217A7" w:rsidRPr="00B54F04" w:rsidRDefault="0025568F" w:rsidP="00CF7820">
      <w:pPr>
        <w:pStyle w:val="Akapitzlist"/>
        <w:numPr>
          <w:ilvl w:val="0"/>
          <w:numId w:val="4"/>
        </w:numPr>
        <w:spacing w:before="120" w:after="120"/>
        <w:contextualSpacing w:val="0"/>
        <w:rPr>
          <w:rFonts w:asciiTheme="minorHAnsi" w:hAnsiTheme="minorHAnsi" w:cstheme="minorHAnsi"/>
        </w:rPr>
      </w:pPr>
      <w:r w:rsidRPr="00B54F04">
        <w:rPr>
          <w:rFonts w:asciiTheme="minorHAnsi" w:hAnsiTheme="minorHAnsi" w:cstheme="minorHAnsi"/>
        </w:rPr>
        <w:t>Wszelka dokumentacja potwierdzająca wydatkowanie środków przez Ostatecznego Odbiorcę powinna być, co do zasady, sporządzona w języku polskim, a w przypadku dokumentów wystawianych w języku innym niż język polski, w razie istnienia wątpliwości co do treści tych dokumentów, powinna zostać przetłumaczona na język polski.</w:t>
      </w:r>
    </w:p>
    <w:p w14:paraId="4A4FF92F" w14:textId="2B1EE3D0" w:rsidR="001327AA" w:rsidRPr="00B54F04" w:rsidRDefault="00106A33" w:rsidP="00264310">
      <w:pPr>
        <w:pStyle w:val="Nagwek1"/>
        <w:spacing w:after="240"/>
        <w:jc w:val="both"/>
        <w:rPr>
          <w:color w:val="auto"/>
        </w:rPr>
      </w:pPr>
      <w:r w:rsidRPr="00B54F04">
        <w:rPr>
          <w:color w:val="auto"/>
        </w:rPr>
        <w:lastRenderedPageBreak/>
        <w:t xml:space="preserve">Część </w:t>
      </w:r>
      <w:r w:rsidR="0075101F">
        <w:rPr>
          <w:color w:val="auto"/>
        </w:rPr>
        <w:t>VIII</w:t>
      </w:r>
      <w:r w:rsidR="001327AA" w:rsidRPr="00B54F04">
        <w:rPr>
          <w:color w:val="auto"/>
        </w:rPr>
        <w:t xml:space="preserve"> Zasady odpłatności za udzielenie Jednostkowych Pożyczek</w:t>
      </w:r>
    </w:p>
    <w:p w14:paraId="79175BB5" w14:textId="6DFBDA8B" w:rsidR="001327AA" w:rsidRPr="00B54F04" w:rsidRDefault="001327AA" w:rsidP="00CF7820">
      <w:pPr>
        <w:pStyle w:val="Akapitzlist"/>
        <w:numPr>
          <w:ilvl w:val="0"/>
          <w:numId w:val="11"/>
        </w:numPr>
        <w:spacing w:before="120" w:after="120"/>
        <w:ind w:left="714" w:hanging="357"/>
        <w:contextualSpacing w:val="0"/>
        <w:rPr>
          <w:rFonts w:asciiTheme="minorHAnsi" w:hAnsiTheme="minorHAnsi" w:cstheme="minorHAnsi"/>
        </w:rPr>
      </w:pPr>
      <w:r w:rsidRPr="00B54F04">
        <w:rPr>
          <w:rFonts w:asciiTheme="minorHAnsi" w:hAnsiTheme="minorHAnsi" w:cstheme="minorHAnsi"/>
        </w:rPr>
        <w:t xml:space="preserve">Jednostkowe Pożyczki </w:t>
      </w:r>
      <w:r w:rsidR="00127D3A" w:rsidRPr="00B54F04">
        <w:rPr>
          <w:rFonts w:asciiTheme="minorHAnsi" w:hAnsiTheme="minorHAnsi" w:cstheme="minorHAnsi"/>
        </w:rPr>
        <w:t xml:space="preserve">mogą być </w:t>
      </w:r>
      <w:r w:rsidRPr="00B54F04">
        <w:rPr>
          <w:rFonts w:asciiTheme="minorHAnsi" w:hAnsiTheme="minorHAnsi" w:cstheme="minorHAnsi"/>
        </w:rPr>
        <w:t>udzielane Ostatecznym Odbiorcom na warunkach korzystniejszych niż rynkowe lub na warunkach rynkowych.</w:t>
      </w:r>
    </w:p>
    <w:p w14:paraId="2BAB6A9A" w14:textId="2D4C0581" w:rsidR="00B519B6" w:rsidRPr="00B54F04" w:rsidRDefault="00B519B6" w:rsidP="00CF7820">
      <w:pPr>
        <w:pStyle w:val="Akapitzlist"/>
        <w:numPr>
          <w:ilvl w:val="0"/>
          <w:numId w:val="11"/>
        </w:numPr>
        <w:spacing w:before="120" w:after="120"/>
        <w:ind w:left="714" w:hanging="357"/>
        <w:contextualSpacing w:val="0"/>
        <w:rPr>
          <w:rFonts w:asciiTheme="minorHAnsi" w:hAnsiTheme="minorHAnsi" w:cstheme="minorHAnsi"/>
        </w:rPr>
      </w:pPr>
      <w:r w:rsidRPr="00B54F04">
        <w:rPr>
          <w:rFonts w:asciiTheme="minorHAnsi" w:hAnsiTheme="minorHAnsi" w:cstheme="minorHAnsi"/>
        </w:rPr>
        <w:t xml:space="preserve">Oprocentowanie Jednostkowej Pożyczki na warunkach korzystniejszych niż rynkowe jest stałe w całym okresie jej obowiązywania i wynosi </w:t>
      </w:r>
      <w:r w:rsidR="00023C6C" w:rsidRPr="00B54F04">
        <w:rPr>
          <w:rFonts w:asciiTheme="minorHAnsi" w:hAnsiTheme="minorHAnsi" w:cstheme="minorHAnsi"/>
        </w:rPr>
        <w:t>0</w:t>
      </w:r>
      <w:r w:rsidRPr="00B54F04">
        <w:rPr>
          <w:rFonts w:asciiTheme="minorHAnsi" w:hAnsiTheme="minorHAnsi" w:cstheme="minorHAnsi"/>
        </w:rPr>
        <w:t>% w skali roku.</w:t>
      </w:r>
    </w:p>
    <w:p w14:paraId="20D3ABEB" w14:textId="751DDC6D" w:rsidR="001327AA" w:rsidRPr="00B54F04" w:rsidRDefault="001327AA" w:rsidP="00CF7820">
      <w:pPr>
        <w:pStyle w:val="Akapitzlist"/>
        <w:numPr>
          <w:ilvl w:val="0"/>
          <w:numId w:val="11"/>
        </w:numPr>
        <w:spacing w:before="120" w:after="120"/>
        <w:ind w:left="714" w:hanging="357"/>
        <w:contextualSpacing w:val="0"/>
        <w:rPr>
          <w:rFonts w:asciiTheme="minorHAnsi" w:hAnsiTheme="minorHAnsi" w:cstheme="minorHAnsi"/>
        </w:rPr>
      </w:pPr>
      <w:r w:rsidRPr="00B54F04">
        <w:rPr>
          <w:rFonts w:asciiTheme="minorHAnsi" w:hAnsiTheme="minorHAnsi" w:cstheme="minorHAnsi"/>
        </w:rPr>
        <w:t>Oprocentowanie na zasadach rynkowych ustalane jest w wysokości stopy referencyjnej obliczanej przy zastosowaniu obowiązującej stopy bazowej oraz marży ustalonej w oparciu o Komunikat Komisji Europejskiej z dnia 19 stycznia 2008 r. w sprawie zmiany metody ustalania stóp referencyjnych i dyskontowych lub komunikatu zastępującego.</w:t>
      </w:r>
    </w:p>
    <w:p w14:paraId="3B56BDC2" w14:textId="77777777" w:rsidR="001327AA" w:rsidRPr="00B54F04" w:rsidRDefault="001327AA" w:rsidP="00CF7820">
      <w:pPr>
        <w:pStyle w:val="Akapitzlist"/>
        <w:numPr>
          <w:ilvl w:val="0"/>
          <w:numId w:val="11"/>
        </w:numPr>
        <w:spacing w:before="120" w:after="120"/>
        <w:ind w:left="714" w:hanging="357"/>
        <w:contextualSpacing w:val="0"/>
        <w:rPr>
          <w:rFonts w:asciiTheme="minorHAnsi" w:hAnsiTheme="minorHAnsi" w:cstheme="minorHAnsi"/>
        </w:rPr>
      </w:pPr>
      <w:r w:rsidRPr="00B54F04">
        <w:rPr>
          <w:rFonts w:asciiTheme="minorHAnsi" w:hAnsiTheme="minorHAnsi" w:cstheme="minorHAnsi"/>
        </w:rPr>
        <w:t>W ramach udzielanych Jednostkowych Pożyczek nie występują opłaty związane z udzieleniem pożyczki i jej standardową obsługą. Czynności wykraczające poza ten zakres, przede wszystkim w przypadku niewywiązywania się przez Ostatecznego Odbiorcę z warunków Umowy Inwestycyjnej, występowania nierozliczonych wydatków, zaległości w spłacie, konieczności podejmowania działań windykacyjnych (zgodnie z postanowieniami Umowy), mogą przyczynić się do wystąpienia dodatkowych opłat i kosztów po stronie Ostatecznego Odbiorcy, co Partner Finansujący powinien określić w postanowieniach Umów Inwestycyjnych oraz Taryfie opłat i prowizji.</w:t>
      </w:r>
    </w:p>
    <w:p w14:paraId="18CB7954" w14:textId="0CB99A3B" w:rsidR="007F3BB3" w:rsidRPr="00B54F04" w:rsidRDefault="007F3BB3" w:rsidP="00264310">
      <w:pPr>
        <w:pStyle w:val="Nagwek1"/>
        <w:spacing w:after="240"/>
        <w:jc w:val="both"/>
        <w:rPr>
          <w:color w:val="auto"/>
        </w:rPr>
      </w:pPr>
      <w:bookmarkStart w:id="5" w:name="_Hlk138867173"/>
      <w:r w:rsidRPr="00B54F04">
        <w:rPr>
          <w:color w:val="auto"/>
        </w:rPr>
        <w:t xml:space="preserve">Część </w:t>
      </w:r>
      <w:r w:rsidR="0075101F">
        <w:rPr>
          <w:color w:val="auto"/>
        </w:rPr>
        <w:t>I</w:t>
      </w:r>
      <w:r w:rsidRPr="00B54F04">
        <w:rPr>
          <w:color w:val="auto"/>
        </w:rPr>
        <w:t xml:space="preserve">X Szczegółowe zasady dotyczące </w:t>
      </w:r>
      <w:r w:rsidR="0076729A">
        <w:rPr>
          <w:color w:val="auto"/>
        </w:rPr>
        <w:t>udziel</w:t>
      </w:r>
      <w:r w:rsidR="008264BC">
        <w:rPr>
          <w:color w:val="auto"/>
        </w:rPr>
        <w:t>a</w:t>
      </w:r>
      <w:r w:rsidR="0076729A">
        <w:rPr>
          <w:color w:val="auto"/>
        </w:rPr>
        <w:t>nia</w:t>
      </w:r>
      <w:r w:rsidR="0076729A" w:rsidRPr="00B54F04">
        <w:rPr>
          <w:color w:val="auto"/>
        </w:rPr>
        <w:t xml:space="preserve"> </w:t>
      </w:r>
      <w:r w:rsidR="000C2266">
        <w:rPr>
          <w:color w:val="auto"/>
        </w:rPr>
        <w:t>Dotacji</w:t>
      </w:r>
    </w:p>
    <w:p w14:paraId="15E485B1" w14:textId="66E03ACC" w:rsidR="007F3BB3" w:rsidRPr="00B54F04" w:rsidRDefault="007F3BB3" w:rsidP="00CF7820">
      <w:pPr>
        <w:pStyle w:val="Akapitzlist"/>
        <w:numPr>
          <w:ilvl w:val="6"/>
          <w:numId w:val="17"/>
        </w:numPr>
        <w:tabs>
          <w:tab w:val="left" w:pos="709"/>
        </w:tabs>
        <w:spacing w:before="120" w:after="120"/>
        <w:ind w:left="709" w:hanging="426"/>
        <w:contextualSpacing w:val="0"/>
        <w:rPr>
          <w:rFonts w:asciiTheme="minorHAnsi" w:hAnsiTheme="minorHAnsi" w:cstheme="minorHAnsi"/>
        </w:rPr>
      </w:pPr>
      <w:r w:rsidRPr="00B54F04">
        <w:rPr>
          <w:rFonts w:asciiTheme="minorHAnsi" w:hAnsiTheme="minorHAnsi" w:cstheme="minorHAnsi"/>
        </w:rPr>
        <w:t xml:space="preserve">Podmiot ubiegający się o Jednostkową Pożyczkę określa we Wniosku kwotę </w:t>
      </w:r>
      <w:r w:rsidR="000C2266">
        <w:rPr>
          <w:rFonts w:asciiTheme="minorHAnsi" w:hAnsiTheme="minorHAnsi" w:cstheme="minorHAnsi"/>
        </w:rPr>
        <w:t>D</w:t>
      </w:r>
      <w:r w:rsidR="00B26BD2">
        <w:rPr>
          <w:rFonts w:asciiTheme="minorHAnsi" w:hAnsiTheme="minorHAnsi" w:cstheme="minorHAnsi"/>
        </w:rPr>
        <w:t>otacji</w:t>
      </w:r>
      <w:r w:rsidR="00B26BD2" w:rsidRPr="00B54F04">
        <w:rPr>
          <w:rFonts w:asciiTheme="minorHAnsi" w:hAnsiTheme="minorHAnsi" w:cstheme="minorHAnsi"/>
        </w:rPr>
        <w:t xml:space="preserve"> </w:t>
      </w:r>
      <w:r w:rsidRPr="00B54F04">
        <w:rPr>
          <w:rFonts w:asciiTheme="minorHAnsi" w:hAnsiTheme="minorHAnsi" w:cstheme="minorHAnsi"/>
        </w:rPr>
        <w:t>o jaką wnioskuje, biorąc pod uwagę warunki je</w:t>
      </w:r>
      <w:r w:rsidR="00650D5F">
        <w:rPr>
          <w:rFonts w:asciiTheme="minorHAnsi" w:hAnsiTheme="minorHAnsi" w:cstheme="minorHAnsi"/>
        </w:rPr>
        <w:t>j</w:t>
      </w:r>
      <w:r w:rsidRPr="00B54F04">
        <w:rPr>
          <w:rFonts w:asciiTheme="minorHAnsi" w:hAnsiTheme="minorHAnsi" w:cstheme="minorHAnsi"/>
        </w:rPr>
        <w:t xml:space="preserve"> uzyskania określone w Części III.</w:t>
      </w:r>
    </w:p>
    <w:p w14:paraId="324DF204" w14:textId="66794A21" w:rsidR="007F3BB3" w:rsidRPr="00B54F04" w:rsidRDefault="007F3BB3" w:rsidP="00CF7820">
      <w:pPr>
        <w:pStyle w:val="Akapitzlist"/>
        <w:numPr>
          <w:ilvl w:val="6"/>
          <w:numId w:val="17"/>
        </w:numPr>
        <w:tabs>
          <w:tab w:val="left" w:pos="709"/>
        </w:tabs>
        <w:spacing w:before="120" w:after="120"/>
        <w:ind w:left="709" w:hanging="426"/>
        <w:contextualSpacing w:val="0"/>
        <w:rPr>
          <w:rFonts w:asciiTheme="minorHAnsi" w:hAnsiTheme="minorHAnsi" w:cstheme="minorHAnsi"/>
        </w:rPr>
      </w:pPr>
      <w:r w:rsidRPr="00B54F04">
        <w:rPr>
          <w:rFonts w:asciiTheme="minorHAnsi" w:hAnsiTheme="minorHAnsi" w:cstheme="minorHAnsi"/>
        </w:rPr>
        <w:t xml:space="preserve">Partner Finansujący w ramach oceny dokumentacji aplikacyjnej weryfikuje spełnienie przez Ostatecznego Odbiorcę warunków umożliwiających udzielenie </w:t>
      </w:r>
      <w:r w:rsidR="000C2266">
        <w:rPr>
          <w:rFonts w:asciiTheme="minorHAnsi" w:hAnsiTheme="minorHAnsi" w:cstheme="minorHAnsi"/>
        </w:rPr>
        <w:t>D</w:t>
      </w:r>
      <w:r w:rsidR="00B26BD2">
        <w:rPr>
          <w:rFonts w:asciiTheme="minorHAnsi" w:hAnsiTheme="minorHAnsi" w:cstheme="minorHAnsi"/>
        </w:rPr>
        <w:t>otacji</w:t>
      </w:r>
      <w:r w:rsidRPr="00B54F04">
        <w:rPr>
          <w:rFonts w:asciiTheme="minorHAnsi" w:hAnsiTheme="minorHAnsi" w:cstheme="minorHAnsi"/>
        </w:rPr>
        <w:t>.</w:t>
      </w:r>
    </w:p>
    <w:p w14:paraId="734A50ED" w14:textId="4EF9F89E" w:rsidR="007F3BB3" w:rsidRPr="00B54F04" w:rsidRDefault="007F3BB3" w:rsidP="00CF7820">
      <w:pPr>
        <w:pStyle w:val="Akapitzlist"/>
        <w:numPr>
          <w:ilvl w:val="6"/>
          <w:numId w:val="17"/>
        </w:numPr>
        <w:tabs>
          <w:tab w:val="left" w:pos="709"/>
        </w:tabs>
        <w:spacing w:before="120" w:after="120"/>
        <w:ind w:left="709" w:hanging="426"/>
        <w:contextualSpacing w:val="0"/>
        <w:rPr>
          <w:rFonts w:asciiTheme="minorHAnsi" w:hAnsiTheme="minorHAnsi" w:cstheme="minorHAnsi"/>
        </w:rPr>
      </w:pPr>
      <w:r w:rsidRPr="00B54F04">
        <w:rPr>
          <w:rFonts w:asciiTheme="minorHAnsi" w:hAnsiTheme="minorHAnsi" w:cstheme="minorHAnsi"/>
        </w:rPr>
        <w:t xml:space="preserve">W przypadku spełniania warunków do przyznania </w:t>
      </w:r>
      <w:r w:rsidR="000C2266">
        <w:rPr>
          <w:rFonts w:asciiTheme="minorHAnsi" w:hAnsiTheme="minorHAnsi" w:cstheme="minorHAnsi"/>
        </w:rPr>
        <w:t>D</w:t>
      </w:r>
      <w:r w:rsidR="00B26BD2">
        <w:rPr>
          <w:rFonts w:asciiTheme="minorHAnsi" w:hAnsiTheme="minorHAnsi" w:cstheme="minorHAnsi"/>
        </w:rPr>
        <w:t>otacji</w:t>
      </w:r>
      <w:r w:rsidRPr="00B54F04">
        <w:rPr>
          <w:rFonts w:asciiTheme="minorHAnsi" w:hAnsiTheme="minorHAnsi" w:cstheme="minorHAnsi"/>
        </w:rPr>
        <w:t>, w Umowie Inwestycyjnej określana jest je</w:t>
      </w:r>
      <w:r w:rsidR="00650D5F">
        <w:rPr>
          <w:rFonts w:asciiTheme="minorHAnsi" w:hAnsiTheme="minorHAnsi" w:cstheme="minorHAnsi"/>
        </w:rPr>
        <w:t>j</w:t>
      </w:r>
      <w:r w:rsidRPr="00B54F04">
        <w:rPr>
          <w:rFonts w:asciiTheme="minorHAnsi" w:hAnsiTheme="minorHAnsi" w:cstheme="minorHAnsi"/>
        </w:rPr>
        <w:t xml:space="preserve"> kwota jaka została przyznana w odniesieniu do danej Jednostkowej Pożyczki i warunki zastosowania określone poniżej.</w:t>
      </w:r>
    </w:p>
    <w:p w14:paraId="050F8D43" w14:textId="63321B04" w:rsidR="007F3BB3" w:rsidRPr="00B54F04" w:rsidRDefault="00B26BD2" w:rsidP="00CF7820">
      <w:pPr>
        <w:pStyle w:val="Akapitzlist"/>
        <w:numPr>
          <w:ilvl w:val="6"/>
          <w:numId w:val="17"/>
        </w:numPr>
        <w:tabs>
          <w:tab w:val="left" w:pos="709"/>
        </w:tabs>
        <w:spacing w:before="120" w:after="120"/>
        <w:ind w:left="709" w:hanging="426"/>
        <w:contextualSpacing w:val="0"/>
        <w:rPr>
          <w:rFonts w:asciiTheme="minorHAnsi" w:hAnsiTheme="minorHAnsi" w:cstheme="minorHAnsi"/>
        </w:rPr>
      </w:pPr>
      <w:r>
        <w:rPr>
          <w:rFonts w:asciiTheme="minorHAnsi" w:hAnsiTheme="minorHAnsi" w:cstheme="minorHAnsi"/>
        </w:rPr>
        <w:t>Dotacja</w:t>
      </w:r>
      <w:r w:rsidRPr="00B54F04">
        <w:rPr>
          <w:rFonts w:asciiTheme="minorHAnsi" w:hAnsiTheme="minorHAnsi" w:cstheme="minorHAnsi"/>
        </w:rPr>
        <w:t xml:space="preserve"> </w:t>
      </w:r>
      <w:r w:rsidR="007F3BB3" w:rsidRPr="00B54F04">
        <w:rPr>
          <w:rFonts w:asciiTheme="minorHAnsi" w:hAnsiTheme="minorHAnsi" w:cstheme="minorHAnsi"/>
        </w:rPr>
        <w:t>stanowi pomoc de minimis albo pomoc publiczną</w:t>
      </w:r>
      <w:r w:rsidR="005A0E45" w:rsidRPr="00B54F04">
        <w:rPr>
          <w:rFonts w:asciiTheme="minorHAnsi" w:hAnsiTheme="minorHAnsi" w:cstheme="minorHAnsi"/>
        </w:rPr>
        <w:t xml:space="preserve"> </w:t>
      </w:r>
      <w:r w:rsidR="005A0E45" w:rsidRPr="00B54F04">
        <w:t>(z wyłączeniem Ostatecznych Odbiorców/Inwestycji Końcowych nieobjętych regułami pomocy publicznej)</w:t>
      </w:r>
      <w:r w:rsidR="007F3BB3" w:rsidRPr="00B54F04">
        <w:rPr>
          <w:rFonts w:asciiTheme="minorHAnsi" w:hAnsiTheme="minorHAnsi" w:cstheme="minorHAnsi"/>
        </w:rPr>
        <w:t xml:space="preserve">, która może być udzielona, jeżeli spełnione są warunki przewidziane dla danej pomocy, zgodnie z zasadami i na podstawie przepisów o których mowa w Części X </w:t>
      </w:r>
      <w:r w:rsidR="00EC68D9">
        <w:rPr>
          <w:rFonts w:asciiTheme="minorHAnsi" w:hAnsiTheme="minorHAnsi" w:cstheme="minorHAnsi"/>
        </w:rPr>
        <w:t>Karty</w:t>
      </w:r>
      <w:r w:rsidR="007F3BB3" w:rsidRPr="00B54F04">
        <w:rPr>
          <w:rFonts w:asciiTheme="minorHAnsi" w:hAnsiTheme="minorHAnsi" w:cstheme="minorHAnsi"/>
        </w:rPr>
        <w:t xml:space="preserve">. Kwota </w:t>
      </w:r>
      <w:r w:rsidR="000C2266">
        <w:rPr>
          <w:rFonts w:asciiTheme="minorHAnsi" w:hAnsiTheme="minorHAnsi" w:cstheme="minorHAnsi"/>
        </w:rPr>
        <w:t>D</w:t>
      </w:r>
      <w:r>
        <w:rPr>
          <w:rFonts w:asciiTheme="minorHAnsi" w:hAnsiTheme="minorHAnsi" w:cstheme="minorHAnsi"/>
        </w:rPr>
        <w:t>otacji</w:t>
      </w:r>
      <w:r w:rsidRPr="00B54F04">
        <w:rPr>
          <w:rFonts w:asciiTheme="minorHAnsi" w:hAnsiTheme="minorHAnsi" w:cstheme="minorHAnsi"/>
        </w:rPr>
        <w:t xml:space="preserve"> </w:t>
      </w:r>
      <w:r w:rsidR="007F3BB3" w:rsidRPr="00B54F04">
        <w:rPr>
          <w:rFonts w:asciiTheme="minorHAnsi" w:hAnsiTheme="minorHAnsi" w:cstheme="minorHAnsi"/>
        </w:rPr>
        <w:t xml:space="preserve">stanowi jednocześnie wartość udzielonej z tego tytułu pomocy. Ostateczny Odbiorca uzyskuje prawo do otrzymania pomocy w formie </w:t>
      </w:r>
      <w:r w:rsidR="000C2266">
        <w:rPr>
          <w:rFonts w:asciiTheme="minorHAnsi" w:hAnsiTheme="minorHAnsi" w:cstheme="minorHAnsi"/>
        </w:rPr>
        <w:t>D</w:t>
      </w:r>
      <w:r>
        <w:rPr>
          <w:rFonts w:asciiTheme="minorHAnsi" w:hAnsiTheme="minorHAnsi" w:cstheme="minorHAnsi"/>
        </w:rPr>
        <w:t>otacji</w:t>
      </w:r>
      <w:r w:rsidRPr="00B54F04">
        <w:rPr>
          <w:rFonts w:asciiTheme="minorHAnsi" w:hAnsiTheme="minorHAnsi" w:cstheme="minorHAnsi"/>
        </w:rPr>
        <w:t xml:space="preserve"> </w:t>
      </w:r>
      <w:r w:rsidR="007F3BB3" w:rsidRPr="00B54F04">
        <w:rPr>
          <w:rFonts w:asciiTheme="minorHAnsi" w:hAnsiTheme="minorHAnsi" w:cstheme="minorHAnsi"/>
        </w:rPr>
        <w:t xml:space="preserve">na podstawie zawartej Umowy Inwestycyjnej, z zastrzeżeniem pkt. </w:t>
      </w:r>
      <w:r w:rsidR="007465BE" w:rsidRPr="00B54F04">
        <w:rPr>
          <w:rFonts w:asciiTheme="minorHAnsi" w:hAnsiTheme="minorHAnsi" w:cstheme="minorHAnsi"/>
        </w:rPr>
        <w:t>6</w:t>
      </w:r>
      <w:r w:rsidR="00570D08" w:rsidRPr="00B54F04">
        <w:rPr>
          <w:rFonts w:asciiTheme="minorHAnsi" w:hAnsiTheme="minorHAnsi" w:cstheme="minorHAnsi"/>
        </w:rPr>
        <w:t>-</w:t>
      </w:r>
      <w:r w:rsidR="005D39E5" w:rsidRPr="00B54F04">
        <w:rPr>
          <w:rFonts w:asciiTheme="minorHAnsi" w:hAnsiTheme="minorHAnsi" w:cstheme="minorHAnsi"/>
        </w:rPr>
        <w:t>8</w:t>
      </w:r>
      <w:r w:rsidR="007F3BB3" w:rsidRPr="00B54F04">
        <w:rPr>
          <w:rFonts w:asciiTheme="minorHAnsi" w:hAnsiTheme="minorHAnsi" w:cstheme="minorHAnsi"/>
        </w:rPr>
        <w:t>.</w:t>
      </w:r>
    </w:p>
    <w:p w14:paraId="36E7A8BC" w14:textId="1D197F7B" w:rsidR="00371D27" w:rsidRPr="00371D27" w:rsidRDefault="00371D27" w:rsidP="00371D27">
      <w:pPr>
        <w:pStyle w:val="Akapitzlist"/>
        <w:numPr>
          <w:ilvl w:val="6"/>
          <w:numId w:val="17"/>
        </w:numPr>
        <w:tabs>
          <w:tab w:val="left" w:pos="709"/>
        </w:tabs>
        <w:spacing w:before="120" w:after="120"/>
        <w:ind w:left="709" w:hanging="426"/>
        <w:rPr>
          <w:rFonts w:asciiTheme="minorHAnsi" w:hAnsiTheme="minorHAnsi" w:cstheme="minorHAnsi"/>
        </w:rPr>
      </w:pPr>
      <w:r>
        <w:rPr>
          <w:rFonts w:asciiTheme="minorHAnsi" w:hAnsiTheme="minorHAnsi" w:cstheme="minorHAnsi"/>
        </w:rPr>
        <w:t>Z</w:t>
      </w:r>
      <w:r w:rsidRPr="00371D27">
        <w:rPr>
          <w:rFonts w:asciiTheme="minorHAnsi" w:hAnsiTheme="minorHAnsi" w:cstheme="minorHAnsi"/>
        </w:rPr>
        <w:t>astosowanie przyznanej Dotacji nastąpi poprzez zaliczenie jej na spłatę odpowiedniej części kapitału Jednostkowej Pożyczki,  po zakończeniu realizacji Inwestycji Końcowej, przedstawieniu przez Ostatecznego Odbiorcę dokumentów potwierdzających wydatkowanie środków zgodnie z przeznaczeniem (oraz ewentualnych innych dokumentów – jeśli dotyczy) i zweryfikowaniu kwalifikowalności tych wydatków przez Partnera Finansującego.</w:t>
      </w:r>
    </w:p>
    <w:p w14:paraId="7827D47A" w14:textId="77777777" w:rsidR="007F3BB3" w:rsidRPr="00B54F04" w:rsidRDefault="007F3BB3" w:rsidP="00CF7820">
      <w:pPr>
        <w:pStyle w:val="Akapitzlist"/>
        <w:numPr>
          <w:ilvl w:val="6"/>
          <w:numId w:val="17"/>
        </w:numPr>
        <w:tabs>
          <w:tab w:val="left" w:pos="709"/>
        </w:tabs>
        <w:spacing w:before="120" w:after="120"/>
        <w:ind w:left="709" w:hanging="426"/>
        <w:contextualSpacing w:val="0"/>
        <w:rPr>
          <w:rFonts w:asciiTheme="minorHAnsi" w:hAnsiTheme="minorHAnsi" w:cstheme="minorHAnsi"/>
        </w:rPr>
      </w:pPr>
      <w:r w:rsidRPr="00B54F04">
        <w:rPr>
          <w:rFonts w:asciiTheme="minorHAnsi" w:hAnsiTheme="minorHAnsi" w:cstheme="minorHAnsi"/>
        </w:rPr>
        <w:t>W przypadku gdy:</w:t>
      </w:r>
    </w:p>
    <w:p w14:paraId="2B0F3FF0" w14:textId="77777777" w:rsidR="007F3BB3" w:rsidRPr="00B54F04" w:rsidRDefault="007F3BB3" w:rsidP="00CF7820">
      <w:pPr>
        <w:pStyle w:val="Akapitzlist"/>
        <w:numPr>
          <w:ilvl w:val="3"/>
          <w:numId w:val="18"/>
        </w:numPr>
        <w:tabs>
          <w:tab w:val="left" w:pos="567"/>
        </w:tabs>
        <w:spacing w:before="120" w:after="120"/>
        <w:ind w:left="851" w:hanging="284"/>
        <w:contextualSpacing w:val="0"/>
        <w:rPr>
          <w:rFonts w:asciiTheme="minorHAnsi" w:hAnsiTheme="minorHAnsi" w:cstheme="minorHAnsi"/>
        </w:rPr>
      </w:pPr>
      <w:r w:rsidRPr="00B54F04">
        <w:rPr>
          <w:rFonts w:asciiTheme="minorHAnsi" w:hAnsiTheme="minorHAnsi" w:cstheme="minorHAnsi"/>
        </w:rPr>
        <w:t>nie dojdzie do wypłaty całej kwoty Jednostkowej Pożyczki,</w:t>
      </w:r>
    </w:p>
    <w:p w14:paraId="03149828" w14:textId="77777777" w:rsidR="007F3BB3" w:rsidRPr="00B54F04" w:rsidRDefault="007F3BB3" w:rsidP="00CF7820">
      <w:pPr>
        <w:pStyle w:val="Akapitzlist"/>
        <w:numPr>
          <w:ilvl w:val="3"/>
          <w:numId w:val="18"/>
        </w:numPr>
        <w:tabs>
          <w:tab w:val="left" w:pos="567"/>
        </w:tabs>
        <w:spacing w:before="120" w:after="120"/>
        <w:ind w:left="851" w:hanging="284"/>
        <w:contextualSpacing w:val="0"/>
        <w:rPr>
          <w:rFonts w:asciiTheme="minorHAnsi" w:hAnsiTheme="minorHAnsi" w:cstheme="minorHAnsi"/>
        </w:rPr>
      </w:pPr>
      <w:r w:rsidRPr="00B54F04">
        <w:rPr>
          <w:rFonts w:asciiTheme="minorHAnsi" w:hAnsiTheme="minorHAnsi" w:cstheme="minorHAnsi"/>
        </w:rPr>
        <w:lastRenderedPageBreak/>
        <w:t>Ostateczny Odbiorca nie wykorzysta części wypłaconych na jego rzecz środków Jednostkowej Pożyczki,</w:t>
      </w:r>
    </w:p>
    <w:p w14:paraId="481DF253" w14:textId="77777777" w:rsidR="007F3BB3" w:rsidRPr="00B54F04" w:rsidRDefault="007F3BB3" w:rsidP="00CF7820">
      <w:pPr>
        <w:pStyle w:val="Akapitzlist"/>
        <w:numPr>
          <w:ilvl w:val="3"/>
          <w:numId w:val="18"/>
        </w:numPr>
        <w:tabs>
          <w:tab w:val="left" w:pos="567"/>
        </w:tabs>
        <w:spacing w:before="120" w:after="120"/>
        <w:ind w:left="851" w:hanging="284"/>
        <w:contextualSpacing w:val="0"/>
        <w:rPr>
          <w:rFonts w:asciiTheme="minorHAnsi" w:hAnsiTheme="minorHAnsi" w:cstheme="minorHAnsi"/>
        </w:rPr>
      </w:pPr>
      <w:r w:rsidRPr="00B54F04">
        <w:rPr>
          <w:rFonts w:asciiTheme="minorHAnsi" w:hAnsiTheme="minorHAnsi" w:cstheme="minorHAnsi"/>
        </w:rPr>
        <w:t>część wydatków poniesionych w ramach Jednostkowej Pożyczki nie będzie spełniała Zasad Kwalifikowalności,</w:t>
      </w:r>
    </w:p>
    <w:p w14:paraId="3FE6320C" w14:textId="2DA76E61" w:rsidR="007F3BB3" w:rsidRPr="00B54F04" w:rsidRDefault="007F3BB3" w:rsidP="00CF7820">
      <w:pPr>
        <w:pStyle w:val="Akapitzlist"/>
        <w:tabs>
          <w:tab w:val="left" w:pos="567"/>
        </w:tabs>
        <w:spacing w:before="120" w:after="120"/>
        <w:ind w:left="567"/>
        <w:contextualSpacing w:val="0"/>
        <w:rPr>
          <w:rFonts w:asciiTheme="minorHAnsi" w:hAnsiTheme="minorHAnsi" w:cstheme="minorHAnsi"/>
        </w:rPr>
      </w:pPr>
      <w:r w:rsidRPr="00B54F04">
        <w:rPr>
          <w:rFonts w:asciiTheme="minorHAnsi" w:hAnsiTheme="minorHAnsi" w:cstheme="minorHAnsi"/>
        </w:rPr>
        <w:t xml:space="preserve">kwota </w:t>
      </w:r>
      <w:r w:rsidR="00371D27">
        <w:rPr>
          <w:rFonts w:asciiTheme="minorHAnsi" w:hAnsiTheme="minorHAnsi" w:cstheme="minorHAnsi"/>
        </w:rPr>
        <w:t>D</w:t>
      </w:r>
      <w:r w:rsidR="004E3153">
        <w:rPr>
          <w:rFonts w:asciiTheme="minorHAnsi" w:hAnsiTheme="minorHAnsi" w:cstheme="minorHAnsi"/>
        </w:rPr>
        <w:t>otacji</w:t>
      </w:r>
      <w:r w:rsidR="004E3153" w:rsidRPr="00B54F04">
        <w:rPr>
          <w:rFonts w:asciiTheme="minorHAnsi" w:hAnsiTheme="minorHAnsi" w:cstheme="minorHAnsi"/>
        </w:rPr>
        <w:t xml:space="preserve"> </w:t>
      </w:r>
      <w:r w:rsidRPr="00B54F04">
        <w:rPr>
          <w:rFonts w:asciiTheme="minorHAnsi" w:hAnsiTheme="minorHAnsi" w:cstheme="minorHAnsi"/>
        </w:rPr>
        <w:t xml:space="preserve">ulega odpowiedniemu obniżeniu i jest </w:t>
      </w:r>
      <w:r w:rsidR="00E27747" w:rsidRPr="00B54F04">
        <w:rPr>
          <w:rFonts w:asciiTheme="minorHAnsi" w:hAnsiTheme="minorHAnsi" w:cstheme="minorHAnsi"/>
        </w:rPr>
        <w:t xml:space="preserve">odpowiednio korygowana </w:t>
      </w:r>
      <w:r w:rsidRPr="00B54F04">
        <w:rPr>
          <w:rFonts w:asciiTheme="minorHAnsi" w:hAnsiTheme="minorHAnsi" w:cstheme="minorHAnsi"/>
        </w:rPr>
        <w:t>w oparciu o kwotę Jednostkowej Pożyczki wypłaconej i wykorzystanej na wydatki spełniające Zasady</w:t>
      </w:r>
      <w:r w:rsidR="00FF1F3B">
        <w:rPr>
          <w:rFonts w:asciiTheme="minorHAnsi" w:hAnsiTheme="minorHAnsi" w:cstheme="minorHAnsi"/>
        </w:rPr>
        <w:t xml:space="preserve"> </w:t>
      </w:r>
      <w:r w:rsidRPr="00B54F04">
        <w:rPr>
          <w:rFonts w:asciiTheme="minorHAnsi" w:hAnsiTheme="minorHAnsi" w:cstheme="minorHAnsi"/>
        </w:rPr>
        <w:t>Kwalifikowalności, chyba że, ze względu na okoliczności wskazane w lit. a</w:t>
      </w:r>
      <w:r w:rsidR="0097257B" w:rsidRPr="00B54F04">
        <w:rPr>
          <w:rFonts w:asciiTheme="minorHAnsi" w:hAnsiTheme="minorHAnsi" w:cstheme="minorHAnsi"/>
        </w:rPr>
        <w:t>)</w:t>
      </w:r>
      <w:r w:rsidRPr="00B54F04">
        <w:rPr>
          <w:rFonts w:asciiTheme="minorHAnsi" w:hAnsiTheme="minorHAnsi" w:cstheme="minorHAnsi"/>
        </w:rPr>
        <w:t>-c</w:t>
      </w:r>
      <w:r w:rsidR="0097257B" w:rsidRPr="00B54F04">
        <w:rPr>
          <w:rFonts w:asciiTheme="minorHAnsi" w:hAnsiTheme="minorHAnsi" w:cstheme="minorHAnsi"/>
        </w:rPr>
        <w:t>)</w:t>
      </w:r>
      <w:r w:rsidRPr="00B54F04">
        <w:rPr>
          <w:rFonts w:asciiTheme="minorHAnsi" w:hAnsiTheme="minorHAnsi" w:cstheme="minorHAnsi"/>
        </w:rPr>
        <w:t xml:space="preserve">, cała Jednostkowa Pożyczka nie może być uznana za spełniającą Zasady Kwalifikowalności, co skutkuje brakiem możliwości </w:t>
      </w:r>
      <w:r w:rsidR="00371D27">
        <w:rPr>
          <w:rFonts w:asciiTheme="minorHAnsi" w:hAnsiTheme="minorHAnsi" w:cstheme="minorHAnsi"/>
        </w:rPr>
        <w:t>zastosowania D</w:t>
      </w:r>
      <w:r w:rsidR="00FF1F3B">
        <w:rPr>
          <w:rFonts w:asciiTheme="minorHAnsi" w:hAnsiTheme="minorHAnsi" w:cstheme="minorHAnsi"/>
        </w:rPr>
        <w:t>otacji</w:t>
      </w:r>
      <w:r w:rsidRPr="00B54F04">
        <w:rPr>
          <w:rFonts w:asciiTheme="minorHAnsi" w:hAnsiTheme="minorHAnsi" w:cstheme="minorHAnsi"/>
        </w:rPr>
        <w:t>.</w:t>
      </w:r>
    </w:p>
    <w:p w14:paraId="195586E0" w14:textId="532DA1D0" w:rsidR="007F3BB3" w:rsidRPr="00B54F04" w:rsidRDefault="007F3BB3" w:rsidP="00CF7820">
      <w:pPr>
        <w:pStyle w:val="Akapitzlist"/>
        <w:numPr>
          <w:ilvl w:val="6"/>
          <w:numId w:val="17"/>
        </w:numPr>
        <w:tabs>
          <w:tab w:val="left" w:pos="426"/>
        </w:tabs>
        <w:spacing w:before="120" w:after="120"/>
        <w:ind w:left="426" w:hanging="426"/>
        <w:contextualSpacing w:val="0"/>
        <w:rPr>
          <w:rFonts w:asciiTheme="minorHAnsi" w:hAnsiTheme="minorHAnsi" w:cstheme="minorHAnsi"/>
        </w:rPr>
      </w:pPr>
      <w:r w:rsidRPr="00B54F04">
        <w:rPr>
          <w:rFonts w:asciiTheme="minorHAnsi" w:hAnsiTheme="minorHAnsi" w:cstheme="minorHAnsi"/>
        </w:rPr>
        <w:t xml:space="preserve">Obniżenie kwoty </w:t>
      </w:r>
      <w:r w:rsidR="00371D27">
        <w:rPr>
          <w:rFonts w:asciiTheme="minorHAnsi" w:hAnsiTheme="minorHAnsi" w:cstheme="minorHAnsi"/>
        </w:rPr>
        <w:t>D</w:t>
      </w:r>
      <w:r w:rsidR="00FF1F3B">
        <w:rPr>
          <w:rFonts w:asciiTheme="minorHAnsi" w:hAnsiTheme="minorHAnsi" w:cstheme="minorHAnsi"/>
        </w:rPr>
        <w:t>otacji</w:t>
      </w:r>
      <w:r w:rsidRPr="00B54F04">
        <w:rPr>
          <w:rFonts w:asciiTheme="minorHAnsi" w:hAnsiTheme="minorHAnsi" w:cstheme="minorHAnsi"/>
        </w:rPr>
        <w:t>, o któ</w:t>
      </w:r>
      <w:r w:rsidR="00FF1F3B">
        <w:rPr>
          <w:rFonts w:asciiTheme="minorHAnsi" w:hAnsiTheme="minorHAnsi" w:cstheme="minorHAnsi"/>
        </w:rPr>
        <w:t>rej</w:t>
      </w:r>
      <w:r w:rsidRPr="00B54F04">
        <w:rPr>
          <w:rFonts w:asciiTheme="minorHAnsi" w:hAnsiTheme="minorHAnsi" w:cstheme="minorHAnsi"/>
        </w:rPr>
        <w:t xml:space="preserve"> mowa w pkt </w:t>
      </w:r>
      <w:r w:rsidR="00773F83" w:rsidRPr="00B54F04">
        <w:rPr>
          <w:rFonts w:asciiTheme="minorHAnsi" w:hAnsiTheme="minorHAnsi" w:cstheme="minorHAnsi"/>
        </w:rPr>
        <w:t>6</w:t>
      </w:r>
      <w:r w:rsidR="002F0F55" w:rsidRPr="00B54F04">
        <w:rPr>
          <w:rFonts w:asciiTheme="minorHAnsi" w:hAnsiTheme="minorHAnsi" w:cstheme="minorHAnsi"/>
        </w:rPr>
        <w:t xml:space="preserve"> </w:t>
      </w:r>
      <w:r w:rsidRPr="00B54F04">
        <w:rPr>
          <w:rFonts w:asciiTheme="minorHAnsi" w:hAnsiTheme="minorHAnsi" w:cstheme="minorHAnsi"/>
        </w:rPr>
        <w:t>skutkuje również obowiązkiem dokonania odpowiedniej korekty udzielonej pomocy de minimis albo pomocy publicznej.</w:t>
      </w:r>
    </w:p>
    <w:p w14:paraId="37A1D4B8" w14:textId="216E70FB" w:rsidR="007F3BB3" w:rsidRPr="00B54F04" w:rsidRDefault="007F3BB3" w:rsidP="00CF7820">
      <w:pPr>
        <w:pStyle w:val="Akapitzlist"/>
        <w:numPr>
          <w:ilvl w:val="6"/>
          <w:numId w:val="17"/>
        </w:numPr>
        <w:tabs>
          <w:tab w:val="left" w:pos="426"/>
        </w:tabs>
        <w:spacing w:before="120" w:after="120"/>
        <w:ind w:left="426" w:hanging="426"/>
        <w:contextualSpacing w:val="0"/>
        <w:rPr>
          <w:rFonts w:asciiTheme="minorHAnsi" w:hAnsiTheme="minorHAnsi" w:cstheme="minorHAnsi"/>
        </w:rPr>
      </w:pPr>
      <w:r w:rsidRPr="00B54F04">
        <w:rPr>
          <w:rFonts w:asciiTheme="minorHAnsi" w:hAnsiTheme="minorHAnsi" w:cstheme="minorHAnsi"/>
        </w:rPr>
        <w:t xml:space="preserve">W przypadkach określonych w pkt. </w:t>
      </w:r>
      <w:r w:rsidR="003C32D1" w:rsidRPr="00B54F04">
        <w:rPr>
          <w:rFonts w:asciiTheme="minorHAnsi" w:hAnsiTheme="minorHAnsi" w:cstheme="minorHAnsi"/>
        </w:rPr>
        <w:t>6</w:t>
      </w:r>
      <w:r w:rsidR="002F0F55" w:rsidRPr="00B54F04">
        <w:rPr>
          <w:rFonts w:asciiTheme="minorHAnsi" w:hAnsiTheme="minorHAnsi" w:cstheme="minorHAnsi"/>
        </w:rPr>
        <w:t xml:space="preserve"> </w:t>
      </w:r>
      <w:r w:rsidRPr="00B54F04">
        <w:rPr>
          <w:rFonts w:asciiTheme="minorHAnsi" w:hAnsiTheme="minorHAnsi" w:cstheme="minorHAnsi"/>
        </w:rPr>
        <w:t>lit. b</w:t>
      </w:r>
      <w:r w:rsidR="0097257B" w:rsidRPr="00B54F04">
        <w:rPr>
          <w:rFonts w:asciiTheme="minorHAnsi" w:hAnsiTheme="minorHAnsi" w:cstheme="minorHAnsi"/>
        </w:rPr>
        <w:t>)</w:t>
      </w:r>
      <w:r w:rsidRPr="00B54F04">
        <w:rPr>
          <w:rFonts w:asciiTheme="minorHAnsi" w:hAnsiTheme="minorHAnsi" w:cstheme="minorHAnsi"/>
        </w:rPr>
        <w:t>-c</w:t>
      </w:r>
      <w:r w:rsidR="0097257B" w:rsidRPr="00B54F04">
        <w:rPr>
          <w:rFonts w:asciiTheme="minorHAnsi" w:hAnsiTheme="minorHAnsi" w:cstheme="minorHAnsi"/>
        </w:rPr>
        <w:t>)</w:t>
      </w:r>
      <w:r w:rsidRPr="00B54F04">
        <w:rPr>
          <w:rFonts w:asciiTheme="minorHAnsi" w:hAnsiTheme="minorHAnsi" w:cstheme="minorHAnsi"/>
        </w:rPr>
        <w:t xml:space="preserve"> </w:t>
      </w:r>
      <w:r w:rsidR="00371D27">
        <w:rPr>
          <w:rFonts w:asciiTheme="minorHAnsi" w:hAnsiTheme="minorHAnsi" w:cstheme="minorHAnsi"/>
        </w:rPr>
        <w:t>D</w:t>
      </w:r>
      <w:r w:rsidR="00FF1F3B">
        <w:rPr>
          <w:rFonts w:asciiTheme="minorHAnsi" w:hAnsiTheme="minorHAnsi" w:cstheme="minorHAnsi"/>
        </w:rPr>
        <w:t>otacja</w:t>
      </w:r>
      <w:r w:rsidR="00FF1F3B" w:rsidRPr="00B54F04">
        <w:rPr>
          <w:rFonts w:asciiTheme="minorHAnsi" w:hAnsiTheme="minorHAnsi" w:cstheme="minorHAnsi"/>
        </w:rPr>
        <w:t xml:space="preserve"> </w:t>
      </w:r>
      <w:r w:rsidRPr="00B54F04">
        <w:rPr>
          <w:rFonts w:asciiTheme="minorHAnsi" w:hAnsiTheme="minorHAnsi" w:cstheme="minorHAnsi"/>
        </w:rPr>
        <w:t xml:space="preserve">może </w:t>
      </w:r>
      <w:r w:rsidR="00371D27">
        <w:rPr>
          <w:rFonts w:asciiTheme="minorHAnsi" w:hAnsiTheme="minorHAnsi" w:cstheme="minorHAnsi"/>
        </w:rPr>
        <w:t>zostać zastosowana</w:t>
      </w:r>
      <w:r w:rsidR="00371D27" w:rsidRPr="00B54F04">
        <w:rPr>
          <w:rFonts w:asciiTheme="minorHAnsi" w:hAnsiTheme="minorHAnsi" w:cstheme="minorHAnsi"/>
        </w:rPr>
        <w:t xml:space="preserve"> </w:t>
      </w:r>
      <w:r w:rsidRPr="00B54F04">
        <w:rPr>
          <w:rFonts w:asciiTheme="minorHAnsi" w:hAnsiTheme="minorHAnsi" w:cstheme="minorHAnsi"/>
        </w:rPr>
        <w:t>po dokonaniu zwrotu przez Ostatecznego Odbiorcę niewykorzystanej oraz niespełniającej Zasad Kwalifikowalności części Jednostkowej Pożyczki.</w:t>
      </w:r>
    </w:p>
    <w:p w14:paraId="566A6CDC" w14:textId="1DD93F97" w:rsidR="007F3BB3" w:rsidRPr="00B54F04" w:rsidRDefault="00FF1F3B" w:rsidP="00CF7820">
      <w:pPr>
        <w:pStyle w:val="Akapitzlist"/>
        <w:numPr>
          <w:ilvl w:val="6"/>
          <w:numId w:val="17"/>
        </w:numPr>
        <w:tabs>
          <w:tab w:val="left" w:pos="426"/>
        </w:tabs>
        <w:spacing w:before="120" w:after="120"/>
        <w:ind w:left="426" w:hanging="426"/>
        <w:contextualSpacing w:val="0"/>
        <w:rPr>
          <w:rFonts w:asciiTheme="minorHAnsi" w:hAnsiTheme="minorHAnsi" w:cstheme="minorHAnsi"/>
        </w:rPr>
      </w:pPr>
      <w:r>
        <w:rPr>
          <w:rFonts w:asciiTheme="minorHAnsi" w:hAnsiTheme="minorHAnsi" w:cstheme="minorHAnsi"/>
        </w:rPr>
        <w:t>Dotacja</w:t>
      </w:r>
      <w:r w:rsidRPr="00B54F04">
        <w:rPr>
          <w:rFonts w:asciiTheme="minorHAnsi" w:hAnsiTheme="minorHAnsi" w:cstheme="minorHAnsi"/>
        </w:rPr>
        <w:t xml:space="preserve"> </w:t>
      </w:r>
      <w:r w:rsidR="0076729A">
        <w:rPr>
          <w:rFonts w:asciiTheme="minorHAnsi" w:hAnsiTheme="minorHAnsi" w:cstheme="minorHAnsi"/>
        </w:rPr>
        <w:t>obejmuje jedynie kapitał</w:t>
      </w:r>
      <w:r w:rsidR="007F3BB3" w:rsidRPr="00B54F04">
        <w:rPr>
          <w:rFonts w:asciiTheme="minorHAnsi" w:hAnsiTheme="minorHAnsi" w:cstheme="minorHAnsi"/>
        </w:rPr>
        <w:t xml:space="preserve"> Jednostkowej Pożyczki w części Wkładu Funduszu Powierniczego pochodzącej z Europejskiego Funduszu Rozwoju Regionalnego i nie może przekroczyć kwoty kapitału pozostałej do spłaty przypisanej do tego źródła finansowania na dzień </w:t>
      </w:r>
      <w:r w:rsidR="00371D27">
        <w:rPr>
          <w:rFonts w:asciiTheme="minorHAnsi" w:hAnsiTheme="minorHAnsi" w:cstheme="minorHAnsi"/>
        </w:rPr>
        <w:t>zastosowania</w:t>
      </w:r>
      <w:r w:rsidR="00371D27" w:rsidRPr="00B54F04">
        <w:rPr>
          <w:rFonts w:asciiTheme="minorHAnsi" w:hAnsiTheme="minorHAnsi" w:cstheme="minorHAnsi"/>
        </w:rPr>
        <w:t xml:space="preserve"> </w:t>
      </w:r>
      <w:r w:rsidR="00371D27">
        <w:rPr>
          <w:rFonts w:asciiTheme="minorHAnsi" w:hAnsiTheme="minorHAnsi" w:cstheme="minorHAnsi"/>
        </w:rPr>
        <w:t>D</w:t>
      </w:r>
      <w:r>
        <w:rPr>
          <w:rFonts w:asciiTheme="minorHAnsi" w:hAnsiTheme="minorHAnsi" w:cstheme="minorHAnsi"/>
        </w:rPr>
        <w:t>otacji</w:t>
      </w:r>
      <w:r w:rsidR="007F3BB3" w:rsidRPr="00B54F04">
        <w:rPr>
          <w:rFonts w:asciiTheme="minorHAnsi" w:hAnsiTheme="minorHAnsi" w:cstheme="minorHAnsi"/>
        </w:rPr>
        <w:t>.</w:t>
      </w:r>
    </w:p>
    <w:p w14:paraId="4BDF21D7" w14:textId="1D52D01D" w:rsidR="007F3BB3" w:rsidRPr="00B54F04" w:rsidRDefault="00371D27" w:rsidP="00CF7820">
      <w:pPr>
        <w:pStyle w:val="Akapitzlist"/>
        <w:numPr>
          <w:ilvl w:val="6"/>
          <w:numId w:val="17"/>
        </w:numPr>
        <w:tabs>
          <w:tab w:val="left" w:pos="426"/>
        </w:tabs>
        <w:spacing w:before="120" w:after="120"/>
        <w:ind w:left="426" w:hanging="426"/>
        <w:contextualSpacing w:val="0"/>
        <w:rPr>
          <w:rFonts w:asciiTheme="minorHAnsi" w:hAnsiTheme="minorHAnsi" w:cstheme="minorHAnsi"/>
        </w:rPr>
      </w:pPr>
      <w:r w:rsidRPr="00371D27">
        <w:rPr>
          <w:rFonts w:asciiTheme="minorHAnsi" w:hAnsiTheme="minorHAnsi" w:cstheme="minorHAnsi"/>
        </w:rPr>
        <w:t>Wraz z zastosowaniem Dotacji następuje obniżenie salda Jednostkowej Pożyczki pozostającego do spłaty. Partner Finansujący przygotowuje i przekazuje Ostatecznemu Odbiorcy nowy, pomniejszony o kwotę Dotacji harmonogram spłat Jednostkowej Pożyczki, który nie modyfikuje pierwotnie udzielonego okresu jej spłaty.</w:t>
      </w:r>
    </w:p>
    <w:p w14:paraId="09BAA01C" w14:textId="3675BD78" w:rsidR="001327AA" w:rsidRPr="00B54F04" w:rsidRDefault="00AD31B5" w:rsidP="00264310">
      <w:pPr>
        <w:pStyle w:val="Nagwek1"/>
        <w:spacing w:after="240"/>
        <w:jc w:val="both"/>
        <w:rPr>
          <w:color w:val="auto"/>
        </w:rPr>
      </w:pPr>
      <w:r w:rsidRPr="00B54F04">
        <w:rPr>
          <w:color w:val="auto"/>
        </w:rPr>
        <w:t xml:space="preserve">Część </w:t>
      </w:r>
      <w:r w:rsidR="001327AA" w:rsidRPr="00B54F04">
        <w:rPr>
          <w:color w:val="auto"/>
        </w:rPr>
        <w:t>X Zasady dotyczące udzielania Jednostkowych Pożyczek podlegających regułom pomocy publicznej</w:t>
      </w:r>
    </w:p>
    <w:p w14:paraId="355F41F9" w14:textId="77777777" w:rsidR="000F344F" w:rsidRPr="00B54F04" w:rsidRDefault="000F344F" w:rsidP="00CF7820">
      <w:pPr>
        <w:numPr>
          <w:ilvl w:val="0"/>
          <w:numId w:val="6"/>
        </w:numPr>
        <w:spacing w:before="120" w:after="120"/>
        <w:jc w:val="both"/>
        <w:rPr>
          <w:rFonts w:asciiTheme="minorHAnsi" w:eastAsia="Times New Roman" w:hAnsiTheme="minorHAnsi" w:cstheme="minorHAnsi"/>
        </w:rPr>
      </w:pPr>
      <w:r w:rsidRPr="00B54F04">
        <w:rPr>
          <w:rFonts w:asciiTheme="minorHAnsi" w:eastAsia="Times New Roman" w:hAnsiTheme="minorHAnsi" w:cstheme="minorHAnsi"/>
        </w:rPr>
        <w:t xml:space="preserve">Udzielenie Jednostkowej Pożyczki na warunkach korzystniejszych niż rynkowe może wiązać się z wystąpieniem pomocy publicznej. </w:t>
      </w:r>
    </w:p>
    <w:p w14:paraId="2272AD26" w14:textId="77777777" w:rsidR="000F344F" w:rsidRPr="00B54F04" w:rsidRDefault="000F344F" w:rsidP="00CF7820">
      <w:pPr>
        <w:numPr>
          <w:ilvl w:val="0"/>
          <w:numId w:val="6"/>
        </w:numPr>
        <w:spacing w:before="120" w:after="120"/>
        <w:jc w:val="both"/>
        <w:rPr>
          <w:rFonts w:asciiTheme="minorHAnsi" w:eastAsia="Times New Roman" w:hAnsiTheme="minorHAnsi" w:cstheme="minorHAnsi"/>
        </w:rPr>
      </w:pPr>
      <w:r w:rsidRPr="00B54F04">
        <w:rPr>
          <w:rFonts w:asciiTheme="minorHAnsi" w:eastAsia="Times New Roman" w:hAnsiTheme="minorHAnsi" w:cstheme="minorHAnsi"/>
        </w:rPr>
        <w:t xml:space="preserve">Objęcie Jednostkowej Pożyczki regułami pomocy publicznej należy rozpatrywać m.in. w kontekście tego czy wnioskodawca spełnia definicję „przedsiębiorstwa” zawartą w załączniku I do Rozporządzenia Komisji (UE) nr 651/2014. Przepisy o pomocy publicznej mają zastosowanie do przedsiębiorstw tj. podmiotów prowadzących działalność gospodarczą, bez względu na ich status prawny i sposób ich finansowania. Za działalność gospodarczą uważa się wszelką działalność polegającą na oferowaniu towarów i usług na rynku. W każdym przypadku badanie statusu przedsiębiorstwa trzeba odnosić do konkretnej działalności danego podmiotu, który w pewnych sferach działalności może być uznawany za przedsiębiorstwo, natomiast w innych za podmiot nieprowadzący działalności gospodarczej. Prowadząc takie badanie można posiłkować się m.in. zapisami </w:t>
      </w:r>
      <w:hyperlink r:id="rId14" w:history="1">
        <w:r w:rsidRPr="00B54F04">
          <w:rPr>
            <w:rStyle w:val="Hipercze"/>
            <w:rFonts w:asciiTheme="minorHAnsi" w:eastAsia="Times New Roman" w:hAnsiTheme="minorHAnsi" w:cstheme="minorHAnsi"/>
            <w:color w:val="auto"/>
          </w:rPr>
          <w:t>Zawiadomienia Komisji w sprawie pojęcia pomocy państwa w rozumieniu art. 107 ust. 1 Traktatu o funkcjonowaniu Unii Europejskiej</w:t>
        </w:r>
      </w:hyperlink>
      <w:r w:rsidRPr="00B54F04">
        <w:rPr>
          <w:rFonts w:asciiTheme="minorHAnsi" w:eastAsia="Times New Roman" w:hAnsiTheme="minorHAnsi" w:cstheme="minorHAnsi"/>
        </w:rPr>
        <w:t>.</w:t>
      </w:r>
    </w:p>
    <w:p w14:paraId="24694D6B" w14:textId="0FBDAB2A" w:rsidR="000F344F" w:rsidRPr="00B54F04" w:rsidRDefault="000F344F" w:rsidP="00CF7820">
      <w:pPr>
        <w:numPr>
          <w:ilvl w:val="0"/>
          <w:numId w:val="6"/>
        </w:numPr>
        <w:spacing w:before="120" w:after="120"/>
        <w:jc w:val="both"/>
        <w:rPr>
          <w:rFonts w:asciiTheme="minorHAnsi" w:eastAsia="Times New Roman" w:hAnsiTheme="minorHAnsi" w:cstheme="minorHAnsi"/>
        </w:rPr>
      </w:pPr>
      <w:r w:rsidRPr="00B54F04">
        <w:rPr>
          <w:rFonts w:asciiTheme="minorHAnsi" w:hAnsiTheme="minorHAnsi" w:cstheme="minorHAnsi"/>
        </w:rPr>
        <w:t xml:space="preserve">Wsparcie udzielone jednostce samorządu terytorialnego w ramach Jednostkowej Pożyczki, co do zasady nie będzie stanowić pomocy publicznej. </w:t>
      </w:r>
      <w:r w:rsidR="007308CC" w:rsidRPr="00B54F04">
        <w:rPr>
          <w:rFonts w:asciiTheme="minorHAnsi" w:hAnsiTheme="minorHAnsi" w:cstheme="minorHAnsi"/>
        </w:rPr>
        <w:t xml:space="preserve">Jednakże w przypadku gdy </w:t>
      </w:r>
      <w:r w:rsidRPr="00B54F04">
        <w:rPr>
          <w:rFonts w:asciiTheme="minorHAnsi" w:hAnsiTheme="minorHAnsi" w:cstheme="minorHAnsi"/>
        </w:rPr>
        <w:t xml:space="preserve">podmioty te prowadzą </w:t>
      </w:r>
      <w:r w:rsidRPr="00B54F04">
        <w:rPr>
          <w:rFonts w:asciiTheme="minorHAnsi" w:hAnsiTheme="minorHAnsi" w:cstheme="minorHAnsi"/>
        </w:rPr>
        <w:lastRenderedPageBreak/>
        <w:t>działalność gospodarczą, wsparcie udzielane będzie zgodnie z właściwymi przepisami prawa dotyczącymi zasad udzielania tej pomocy, obowiązującymi na dzień udzielania wsparcia.</w:t>
      </w:r>
    </w:p>
    <w:p w14:paraId="76CBC7B4" w14:textId="77777777" w:rsidR="000F344F" w:rsidRPr="00B54F04" w:rsidRDefault="000F344F" w:rsidP="00CF7820">
      <w:pPr>
        <w:numPr>
          <w:ilvl w:val="0"/>
          <w:numId w:val="6"/>
        </w:numPr>
        <w:spacing w:before="120" w:after="120"/>
        <w:jc w:val="both"/>
        <w:rPr>
          <w:rFonts w:asciiTheme="minorHAnsi" w:eastAsia="Times New Roman" w:hAnsiTheme="minorHAnsi" w:cstheme="minorHAnsi"/>
        </w:rPr>
      </w:pPr>
      <w:r w:rsidRPr="00B54F04">
        <w:rPr>
          <w:rFonts w:asciiTheme="minorHAnsi" w:eastAsia="Times New Roman" w:hAnsiTheme="minorHAnsi" w:cstheme="minorHAnsi"/>
        </w:rPr>
        <w:t>W przypadku gdy, w wyniku dokonanej przez Partnera Finansującego analizy planowanej Inwestycji Końcowej oraz podmiotu ubiegającego się o Jednostkową Pożyczkę, jej udzielenie będzie podlegało regułom pomocy publicznej, mają zastosowanie poniższe zasady.</w:t>
      </w:r>
    </w:p>
    <w:p w14:paraId="5E440D80" w14:textId="58464529" w:rsidR="003A5384" w:rsidRPr="00B54F04" w:rsidRDefault="003A5384" w:rsidP="00CF7820">
      <w:pPr>
        <w:numPr>
          <w:ilvl w:val="0"/>
          <w:numId w:val="6"/>
        </w:numPr>
        <w:spacing w:before="120" w:after="120"/>
        <w:rPr>
          <w:rFonts w:asciiTheme="minorHAnsi" w:eastAsia="Times New Roman" w:hAnsiTheme="minorHAnsi" w:cstheme="minorHAnsi"/>
        </w:rPr>
      </w:pPr>
      <w:r w:rsidRPr="00B54F04">
        <w:rPr>
          <w:rFonts w:asciiTheme="minorHAnsi" w:eastAsia="Times New Roman" w:hAnsiTheme="minorHAnsi" w:cstheme="minorHAnsi"/>
        </w:rPr>
        <w:t xml:space="preserve">Jednostkowe Pożyczki podlegające regułom pomocy publicznej mogą być udzielane w </w:t>
      </w:r>
      <w:r w:rsidR="00BD2963" w:rsidRPr="00B54F04">
        <w:rPr>
          <w:rFonts w:asciiTheme="minorHAnsi" w:eastAsia="Times New Roman" w:hAnsiTheme="minorHAnsi" w:cstheme="minorHAnsi"/>
        </w:rPr>
        <w:t xml:space="preserve">następujących </w:t>
      </w:r>
      <w:r w:rsidRPr="00B54F04">
        <w:rPr>
          <w:rFonts w:asciiTheme="minorHAnsi" w:eastAsia="Times New Roman" w:hAnsiTheme="minorHAnsi" w:cstheme="minorHAnsi"/>
        </w:rPr>
        <w:t>form</w:t>
      </w:r>
      <w:r w:rsidR="00BD2963" w:rsidRPr="00B54F04">
        <w:rPr>
          <w:rFonts w:asciiTheme="minorHAnsi" w:eastAsia="Times New Roman" w:hAnsiTheme="minorHAnsi" w:cstheme="minorHAnsi"/>
        </w:rPr>
        <w:t>ach</w:t>
      </w:r>
      <w:r w:rsidRPr="00B54F04">
        <w:rPr>
          <w:rFonts w:asciiTheme="minorHAnsi" w:eastAsia="Times New Roman" w:hAnsiTheme="minorHAnsi" w:cstheme="minorHAnsi"/>
        </w:rPr>
        <w:t>:</w:t>
      </w:r>
    </w:p>
    <w:p w14:paraId="73C6E347" w14:textId="4CB5DA92" w:rsidR="003A5384" w:rsidRPr="00B54F04" w:rsidRDefault="00BD2963" w:rsidP="00CF7820">
      <w:pPr>
        <w:numPr>
          <w:ilvl w:val="0"/>
          <w:numId w:val="10"/>
        </w:numPr>
        <w:spacing w:before="120" w:after="120"/>
        <w:rPr>
          <w:rFonts w:asciiTheme="minorHAnsi" w:eastAsia="Times New Roman" w:hAnsiTheme="minorHAnsi" w:cstheme="minorHAnsi"/>
        </w:rPr>
      </w:pPr>
      <w:r w:rsidRPr="00B54F04">
        <w:rPr>
          <w:rFonts w:asciiTheme="minorHAnsi" w:eastAsia="Times New Roman" w:hAnsiTheme="minorHAnsi" w:cstheme="minorHAnsi"/>
        </w:rPr>
        <w:t>pomocy de minimis</w:t>
      </w:r>
      <w:r w:rsidR="00803534" w:rsidRPr="00B54F04">
        <w:rPr>
          <w:rFonts w:asciiTheme="minorHAnsi" w:eastAsia="Times New Roman" w:hAnsiTheme="minorHAnsi" w:cstheme="minorHAnsi"/>
        </w:rPr>
        <w:t xml:space="preserve"> </w:t>
      </w:r>
      <w:r w:rsidR="00130F4F" w:rsidRPr="00B54F04">
        <w:rPr>
          <w:rFonts w:asciiTheme="minorHAnsi" w:eastAsia="Times New Roman" w:hAnsiTheme="minorHAnsi" w:cstheme="minorHAnsi"/>
        </w:rPr>
        <w:t>–</w:t>
      </w:r>
      <w:r w:rsidRPr="00B54F04">
        <w:rPr>
          <w:rFonts w:asciiTheme="minorHAnsi" w:eastAsia="Times New Roman" w:hAnsiTheme="minorHAnsi" w:cstheme="minorHAnsi"/>
        </w:rPr>
        <w:t xml:space="preserve"> udzielanej zgodnie z zasadami i warunkami określonymi w rozporządzeniu Komisji (UE) 2023/2831 oraz </w:t>
      </w:r>
      <w:r w:rsidR="002E552F" w:rsidRPr="00B54F04">
        <w:rPr>
          <w:rFonts w:asciiTheme="minorHAnsi" w:eastAsia="Times New Roman" w:hAnsiTheme="minorHAnsi" w:cstheme="minorHAnsi"/>
        </w:rPr>
        <w:t xml:space="preserve">na podstawie </w:t>
      </w:r>
      <w:r w:rsidR="00EC24C3" w:rsidRPr="00B54F04">
        <w:rPr>
          <w:rFonts w:asciiTheme="minorHAnsi" w:eastAsia="Times New Roman" w:hAnsiTheme="minorHAnsi" w:cstheme="minorHAnsi"/>
        </w:rPr>
        <w:t>Rozporządzenia Ministra Funduszy i Polityki Regionalnej z dnia 17 kwietnia 2024 r w sprawie udzielania pomocy de minimis w ramach regionalnych programów na lata 2021-2027</w:t>
      </w:r>
      <w:r w:rsidR="003A5384" w:rsidRPr="00B54F04">
        <w:rPr>
          <w:rFonts w:asciiTheme="minorHAnsi" w:eastAsia="Times New Roman" w:hAnsiTheme="minorHAnsi" w:cstheme="minorHAnsi"/>
        </w:rPr>
        <w:t>,</w:t>
      </w:r>
    </w:p>
    <w:p w14:paraId="6F229C25" w14:textId="1E8164E1" w:rsidR="00E7478F" w:rsidRPr="00B54F04" w:rsidRDefault="003A5384" w:rsidP="00CF7820">
      <w:pPr>
        <w:pStyle w:val="Akapitzlist"/>
        <w:numPr>
          <w:ilvl w:val="0"/>
          <w:numId w:val="10"/>
        </w:numPr>
        <w:spacing w:before="120" w:after="120"/>
        <w:contextualSpacing w:val="0"/>
        <w:rPr>
          <w:rFonts w:asciiTheme="minorHAnsi" w:eastAsia="Times New Roman" w:hAnsiTheme="minorHAnsi" w:cstheme="minorHAnsi"/>
        </w:rPr>
      </w:pPr>
      <w:r w:rsidRPr="00B54F04">
        <w:rPr>
          <w:rFonts w:asciiTheme="minorHAnsi" w:eastAsia="Times New Roman" w:hAnsiTheme="minorHAnsi" w:cstheme="minorHAnsi"/>
        </w:rPr>
        <w:t>pomocy na propagowanie energii ze źródeł odnawialnych</w:t>
      </w:r>
      <w:r w:rsidR="002D11B2" w:rsidRPr="00B54F04">
        <w:rPr>
          <w:rFonts w:asciiTheme="minorHAnsi" w:eastAsia="Times New Roman" w:hAnsiTheme="minorHAnsi" w:cstheme="minorHAnsi"/>
        </w:rPr>
        <w:t>, zgodnie z zasadami i warunkami określonymi dla</w:t>
      </w:r>
      <w:r w:rsidR="00961B42" w:rsidRPr="00B54F04">
        <w:rPr>
          <w:rFonts w:asciiTheme="minorHAnsi" w:eastAsia="Times New Roman" w:hAnsiTheme="minorHAnsi" w:cstheme="minorHAnsi"/>
        </w:rPr>
        <w:t xml:space="preserve"> </w:t>
      </w:r>
      <w:r w:rsidR="00E7478F" w:rsidRPr="00B54F04">
        <w:rPr>
          <w:rFonts w:asciiTheme="minorHAnsi" w:eastAsia="Times New Roman" w:hAnsiTheme="minorHAnsi" w:cstheme="minorHAnsi"/>
        </w:rPr>
        <w:t xml:space="preserve">pomocy inwestycyjnej na propagowanie energii ze źródeł odnawialnych, propagowanie wodoru odnawialnego i wysokosprawnej kogeneracji w rozumieniu art. 41 Rozporządzenia Komisji (UE) nr 651/2014 z 17 czerwca 2014 r. uznającym niektóre rodzaje pomocy za zgodne z rynkiem wewnętrznym w zastosowaniu art. 107 i 108 Traktatu oraz na podstawie Rozporządzenia Ministra Funduszy i Polityki Regionalnej z dnia 11 grudnia 2022 r. w sprawie udzielania pomocy </w:t>
      </w:r>
      <w:r w:rsidR="008907BE" w:rsidRPr="00B54F04">
        <w:rPr>
          <w:rFonts w:asciiTheme="minorHAnsi" w:eastAsia="Times New Roman" w:hAnsiTheme="minorHAnsi" w:cstheme="minorHAnsi"/>
        </w:rPr>
        <w:t xml:space="preserve">inwestycyjnej </w:t>
      </w:r>
      <w:r w:rsidR="00E7478F" w:rsidRPr="00B54F04">
        <w:rPr>
          <w:rFonts w:asciiTheme="minorHAnsi" w:eastAsia="Times New Roman" w:hAnsiTheme="minorHAnsi" w:cstheme="minorHAnsi"/>
        </w:rPr>
        <w:t>na propagowanie energii ze źródeł odnawialnych</w:t>
      </w:r>
      <w:r w:rsidR="008907BE" w:rsidRPr="00B54F04">
        <w:rPr>
          <w:rFonts w:asciiTheme="minorHAnsi" w:eastAsia="Times New Roman" w:hAnsiTheme="minorHAnsi" w:cstheme="minorHAnsi"/>
        </w:rPr>
        <w:t>,</w:t>
      </w:r>
      <w:r w:rsidR="00E7478F" w:rsidRPr="00B54F04">
        <w:rPr>
          <w:rFonts w:asciiTheme="minorHAnsi" w:eastAsia="Times New Roman" w:hAnsiTheme="minorHAnsi" w:cstheme="minorHAnsi"/>
        </w:rPr>
        <w:t xml:space="preserve"> </w:t>
      </w:r>
      <w:r w:rsidR="008907BE" w:rsidRPr="00B54F04">
        <w:rPr>
          <w:rFonts w:asciiTheme="minorHAnsi" w:eastAsia="Times New Roman" w:hAnsiTheme="minorHAnsi" w:cstheme="minorHAnsi"/>
        </w:rPr>
        <w:t xml:space="preserve">propagowanie wodoru odnawialnego i wysokosprawnej kogeneracji </w:t>
      </w:r>
      <w:r w:rsidR="00E7478F" w:rsidRPr="00B54F04">
        <w:rPr>
          <w:rFonts w:asciiTheme="minorHAnsi" w:eastAsia="Times New Roman" w:hAnsiTheme="minorHAnsi" w:cstheme="minorHAnsi"/>
        </w:rPr>
        <w:t>w ramach regionalnych programów na lata 2021-2027,</w:t>
      </w:r>
    </w:p>
    <w:p w14:paraId="0FDE7715" w14:textId="667B5530" w:rsidR="003A5384" w:rsidRPr="00B54F04" w:rsidRDefault="00CF7270" w:rsidP="00CF7820">
      <w:pPr>
        <w:numPr>
          <w:ilvl w:val="0"/>
          <w:numId w:val="6"/>
        </w:numPr>
        <w:spacing w:before="120" w:after="120"/>
        <w:rPr>
          <w:rFonts w:asciiTheme="minorHAnsi" w:eastAsia="Times New Roman" w:hAnsiTheme="minorHAnsi" w:cstheme="minorHAnsi"/>
        </w:rPr>
      </w:pPr>
      <w:r w:rsidRPr="00B54F04">
        <w:rPr>
          <w:rFonts w:asciiTheme="minorHAnsi" w:eastAsia="Times New Roman" w:hAnsiTheme="minorHAnsi" w:cstheme="minorHAnsi"/>
        </w:rPr>
        <w:t>Wydatki na cele</w:t>
      </w:r>
      <w:r w:rsidR="0030757D" w:rsidRPr="00B54F04">
        <w:rPr>
          <w:rFonts w:asciiTheme="minorHAnsi" w:eastAsia="Times New Roman" w:hAnsiTheme="minorHAnsi" w:cstheme="minorHAnsi"/>
        </w:rPr>
        <w:t xml:space="preserve"> </w:t>
      </w:r>
      <w:r w:rsidR="003A5384" w:rsidRPr="00B54F04">
        <w:rPr>
          <w:rFonts w:asciiTheme="minorHAnsi" w:eastAsia="Times New Roman" w:hAnsiTheme="minorHAnsi" w:cstheme="minorHAnsi"/>
        </w:rPr>
        <w:t>określone w Części I</w:t>
      </w:r>
      <w:r w:rsidR="00F04C7D">
        <w:rPr>
          <w:rFonts w:asciiTheme="minorHAnsi" w:eastAsia="Times New Roman" w:hAnsiTheme="minorHAnsi" w:cstheme="minorHAnsi"/>
        </w:rPr>
        <w:t>II</w:t>
      </w:r>
      <w:r w:rsidR="006F60B3" w:rsidRPr="00B54F04">
        <w:rPr>
          <w:rFonts w:asciiTheme="minorHAnsi" w:eastAsia="Times New Roman" w:hAnsiTheme="minorHAnsi" w:cstheme="minorHAnsi"/>
        </w:rPr>
        <w:t xml:space="preserve"> pkt</w:t>
      </w:r>
      <w:r w:rsidR="00130F4F" w:rsidRPr="00B54F04">
        <w:rPr>
          <w:rFonts w:asciiTheme="minorHAnsi" w:eastAsia="Times New Roman" w:hAnsiTheme="minorHAnsi" w:cstheme="minorHAnsi"/>
        </w:rPr>
        <w:t xml:space="preserve"> </w:t>
      </w:r>
      <w:r w:rsidR="006F60B3" w:rsidRPr="00B54F04">
        <w:rPr>
          <w:rFonts w:asciiTheme="minorHAnsi" w:eastAsia="Times New Roman" w:hAnsiTheme="minorHAnsi" w:cstheme="minorHAnsi"/>
        </w:rPr>
        <w:t xml:space="preserve">2 </w:t>
      </w:r>
      <w:r w:rsidR="00242E79">
        <w:rPr>
          <w:rFonts w:asciiTheme="minorHAnsi" w:eastAsia="Times New Roman" w:hAnsiTheme="minorHAnsi" w:cstheme="minorHAnsi"/>
        </w:rPr>
        <w:t>Karty</w:t>
      </w:r>
      <w:r w:rsidR="00754832" w:rsidRPr="00B54F04">
        <w:rPr>
          <w:rFonts w:asciiTheme="minorHAnsi" w:eastAsia="Times New Roman" w:hAnsiTheme="minorHAnsi" w:cstheme="minorHAnsi"/>
        </w:rPr>
        <w:t xml:space="preserve"> </w:t>
      </w:r>
      <w:r w:rsidR="003A5384" w:rsidRPr="00B54F04">
        <w:rPr>
          <w:rFonts w:asciiTheme="minorHAnsi" w:eastAsia="Times New Roman" w:hAnsiTheme="minorHAnsi" w:cstheme="minorHAnsi"/>
        </w:rPr>
        <w:t xml:space="preserve">mogą być objęte wyłącznie pomocą, o której mowa w punkcie </w:t>
      </w:r>
      <w:r w:rsidR="00B20F11" w:rsidRPr="00B54F04">
        <w:rPr>
          <w:rFonts w:asciiTheme="minorHAnsi" w:eastAsia="Times New Roman" w:hAnsiTheme="minorHAnsi" w:cstheme="minorHAnsi"/>
        </w:rPr>
        <w:t>5</w:t>
      </w:r>
      <w:r w:rsidR="00961B42" w:rsidRPr="00B54F04">
        <w:rPr>
          <w:rFonts w:asciiTheme="minorHAnsi" w:eastAsia="Times New Roman" w:hAnsiTheme="minorHAnsi" w:cstheme="minorHAnsi"/>
        </w:rPr>
        <w:t xml:space="preserve"> </w:t>
      </w:r>
      <w:r w:rsidR="003A5384" w:rsidRPr="00B54F04">
        <w:rPr>
          <w:rFonts w:asciiTheme="minorHAnsi" w:eastAsia="Times New Roman" w:hAnsiTheme="minorHAnsi" w:cstheme="minorHAnsi"/>
        </w:rPr>
        <w:t>lit. a</w:t>
      </w:r>
      <w:r w:rsidR="00130F4F" w:rsidRPr="00B54F04">
        <w:rPr>
          <w:rFonts w:asciiTheme="minorHAnsi" w:eastAsia="Times New Roman" w:hAnsiTheme="minorHAnsi" w:cstheme="minorHAnsi"/>
        </w:rPr>
        <w:t>)</w:t>
      </w:r>
      <w:r w:rsidR="003A5384" w:rsidRPr="00B54F04">
        <w:rPr>
          <w:rFonts w:asciiTheme="minorHAnsi" w:eastAsia="Times New Roman" w:hAnsiTheme="minorHAnsi" w:cstheme="minorHAnsi"/>
        </w:rPr>
        <w:t>.</w:t>
      </w:r>
    </w:p>
    <w:p w14:paraId="648B239D" w14:textId="4194CCFE" w:rsidR="003A5384" w:rsidRPr="00B54F04" w:rsidRDefault="003A5384" w:rsidP="00CF7820">
      <w:pPr>
        <w:numPr>
          <w:ilvl w:val="0"/>
          <w:numId w:val="6"/>
        </w:numPr>
        <w:spacing w:before="120" w:after="120"/>
        <w:rPr>
          <w:rFonts w:asciiTheme="minorHAnsi" w:eastAsia="Times New Roman" w:hAnsiTheme="minorHAnsi" w:cstheme="minorHAnsi"/>
        </w:rPr>
      </w:pPr>
      <w:r w:rsidRPr="00B54F04">
        <w:rPr>
          <w:rFonts w:asciiTheme="minorHAnsi" w:eastAsia="Times New Roman" w:hAnsiTheme="minorHAnsi" w:cstheme="minorHAnsi"/>
        </w:rPr>
        <w:t xml:space="preserve">Rodzaje pomocy, o których mowa w pkt. </w:t>
      </w:r>
      <w:r w:rsidR="00EA34CA" w:rsidRPr="00B54F04">
        <w:rPr>
          <w:rFonts w:asciiTheme="minorHAnsi" w:eastAsia="Times New Roman" w:hAnsiTheme="minorHAnsi" w:cstheme="minorHAnsi"/>
        </w:rPr>
        <w:t xml:space="preserve">5 </w:t>
      </w:r>
      <w:r w:rsidRPr="00B54F04">
        <w:rPr>
          <w:rFonts w:asciiTheme="minorHAnsi" w:eastAsia="Times New Roman" w:hAnsiTheme="minorHAnsi" w:cstheme="minorHAnsi"/>
        </w:rPr>
        <w:t>mogą być łączone w ramach Inwestycji Końcowej przy zachowaniu zasad kumulacji określonych w art. 8 Rozporządzenia Komisji (UE) nr 651/2014 z dnia 17 czerwca 2014 r.</w:t>
      </w:r>
    </w:p>
    <w:p w14:paraId="48E226B6" w14:textId="77777777" w:rsidR="003A5384" w:rsidRPr="00B54F04" w:rsidRDefault="003A5384" w:rsidP="00CF7820">
      <w:pPr>
        <w:numPr>
          <w:ilvl w:val="0"/>
          <w:numId w:val="6"/>
        </w:numPr>
        <w:spacing w:before="120" w:after="120"/>
        <w:rPr>
          <w:rFonts w:asciiTheme="minorHAnsi" w:eastAsia="Times New Roman" w:hAnsiTheme="minorHAnsi" w:cstheme="minorHAnsi"/>
        </w:rPr>
      </w:pPr>
      <w:r w:rsidRPr="00B54F04">
        <w:rPr>
          <w:rFonts w:asciiTheme="minorHAnsi" w:eastAsia="Times New Roman" w:hAnsiTheme="minorHAnsi" w:cstheme="minorHAnsi"/>
        </w:rPr>
        <w:t>Wartość pomocy publicznej stanowi ekwiwalent dotacji brutto, obliczany co do zasady zgodnie z Rozporządzeniem Rady Ministrów z dnia 11 sierpnia 2004 r. w sprawie szczegółowego sposobu obliczania wartości pomocy publicznej udzielanej w różnych formach (</w:t>
      </w:r>
      <w:proofErr w:type="spellStart"/>
      <w:r w:rsidRPr="00B54F04">
        <w:rPr>
          <w:rFonts w:asciiTheme="minorHAnsi" w:eastAsia="Times New Roman" w:hAnsiTheme="minorHAnsi" w:cstheme="minorHAnsi"/>
        </w:rPr>
        <w:t>t.j</w:t>
      </w:r>
      <w:proofErr w:type="spellEnd"/>
      <w:r w:rsidRPr="00B54F04">
        <w:rPr>
          <w:rFonts w:asciiTheme="minorHAnsi" w:eastAsia="Times New Roman" w:hAnsiTheme="minorHAnsi" w:cstheme="minorHAnsi"/>
        </w:rPr>
        <w:t>. Dz.U. z 2018 r., poz. 461).</w:t>
      </w:r>
    </w:p>
    <w:p w14:paraId="26F3E471" w14:textId="291FCF8E" w:rsidR="003A5384" w:rsidRPr="00B54F04" w:rsidRDefault="003A5384" w:rsidP="00CF7820">
      <w:pPr>
        <w:numPr>
          <w:ilvl w:val="0"/>
          <w:numId w:val="6"/>
        </w:numPr>
        <w:spacing w:before="120" w:after="120"/>
        <w:rPr>
          <w:rFonts w:asciiTheme="minorHAnsi" w:eastAsia="Times New Roman" w:hAnsiTheme="minorHAnsi" w:cstheme="minorHAnsi"/>
        </w:rPr>
      </w:pPr>
      <w:r w:rsidRPr="00B54F04">
        <w:rPr>
          <w:rFonts w:asciiTheme="minorHAnsi" w:eastAsia="Times New Roman" w:hAnsiTheme="minorHAnsi" w:cstheme="minorHAnsi"/>
        </w:rPr>
        <w:t>Dniem udzielenia pomocy jest dzień zawarcia umowy Jednostkowej Pożyczki (Umowy Inwestycyjnej).</w:t>
      </w:r>
      <w:r w:rsidR="0030757D" w:rsidRPr="00B54F04">
        <w:rPr>
          <w:rFonts w:asciiTheme="minorHAnsi" w:eastAsia="Times New Roman" w:hAnsiTheme="minorHAnsi" w:cstheme="minorHAnsi"/>
        </w:rPr>
        <w:t xml:space="preserve"> </w:t>
      </w:r>
    </w:p>
    <w:p w14:paraId="24EB7FC9" w14:textId="563C5C5E" w:rsidR="003A5384" w:rsidRPr="00B54F04" w:rsidRDefault="003A5384" w:rsidP="00CF7820">
      <w:pPr>
        <w:numPr>
          <w:ilvl w:val="0"/>
          <w:numId w:val="6"/>
        </w:numPr>
        <w:spacing w:before="120" w:after="120"/>
        <w:rPr>
          <w:rFonts w:asciiTheme="minorHAnsi" w:eastAsia="Times New Roman" w:hAnsiTheme="minorHAnsi" w:cstheme="minorHAnsi"/>
        </w:rPr>
      </w:pPr>
      <w:r w:rsidRPr="00B54F04">
        <w:rPr>
          <w:rFonts w:asciiTheme="minorHAnsi" w:eastAsia="Times New Roman" w:hAnsiTheme="minorHAnsi" w:cstheme="minorHAnsi"/>
        </w:rPr>
        <w:t xml:space="preserve">W przypadku niespełnienia przez Ostatecznego Odbiorcę jakiegokolwiek z warunków udzielenia pomocy publicznej / pomocy de minimis, Jednostkowa Pożyczka udzielana jest na warunkach rynkowych. </w:t>
      </w:r>
    </w:p>
    <w:bookmarkEnd w:id="5"/>
    <w:p w14:paraId="0F240B0A" w14:textId="50F6D736" w:rsidR="00A32192" w:rsidRPr="00B54F04" w:rsidRDefault="00A32192" w:rsidP="00026E31">
      <w:pPr>
        <w:spacing w:before="120" w:after="120"/>
        <w:ind w:left="425"/>
        <w:rPr>
          <w:rFonts w:asciiTheme="minorHAnsi" w:eastAsia="Times New Roman" w:hAnsiTheme="minorHAnsi" w:cstheme="minorHAnsi"/>
        </w:rPr>
      </w:pPr>
    </w:p>
    <w:sectPr w:rsidR="00A32192" w:rsidRPr="00B54F04" w:rsidSect="00D114D6">
      <w:headerReference w:type="default" r:id="rId15"/>
      <w:footerReference w:type="default" r:id="rId16"/>
      <w:headerReference w:type="first" r:id="rId17"/>
      <w:footerReference w:type="first" r:id="rId18"/>
      <w:pgSz w:w="11906" w:h="16838"/>
      <w:pgMar w:top="720" w:right="1133" w:bottom="720" w:left="1276"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38AB" w14:textId="77777777" w:rsidR="00DF51DA" w:rsidRDefault="00DF51DA" w:rsidP="00BA3860">
      <w:pPr>
        <w:spacing w:after="0" w:line="240" w:lineRule="auto"/>
      </w:pPr>
      <w:r>
        <w:separator/>
      </w:r>
    </w:p>
  </w:endnote>
  <w:endnote w:type="continuationSeparator" w:id="0">
    <w:p w14:paraId="6162B824" w14:textId="77777777" w:rsidR="00DF51DA" w:rsidRDefault="00DF51DA" w:rsidP="00BA3860">
      <w:pPr>
        <w:spacing w:after="0" w:line="240" w:lineRule="auto"/>
      </w:pPr>
      <w:r>
        <w:continuationSeparator/>
      </w:r>
    </w:p>
  </w:endnote>
  <w:endnote w:type="continuationNotice" w:id="1">
    <w:p w14:paraId="49C5FFDB" w14:textId="77777777" w:rsidR="00DF51DA" w:rsidRDefault="00DF51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4A18" w14:textId="49FE1D53" w:rsidR="008D280B" w:rsidRDefault="00B123E9" w:rsidP="00B123E9">
    <w:pPr>
      <w:pStyle w:val="Stopka"/>
      <w:tabs>
        <w:tab w:val="clear" w:pos="4536"/>
        <w:tab w:val="clear" w:pos="9072"/>
        <w:tab w:val="left" w:pos="7230"/>
        <w:tab w:val="left" w:pos="7575"/>
        <w:tab w:val="right" w:pos="9497"/>
      </w:tabs>
    </w:pPr>
    <w:r>
      <w:rPr>
        <w:sz w:val="24"/>
      </w:rPr>
      <w:tab/>
    </w:r>
    <w:r>
      <w:rPr>
        <w:sz w:val="24"/>
      </w:rPr>
      <w:tab/>
    </w:r>
    <w:r>
      <w:rPr>
        <w:rFonts w:ascii="Arial" w:eastAsia="Times New Roman" w:hAnsi="Arial" w:cs="Arial"/>
        <w:noProof/>
        <w:color w:val="2F5496" w:themeColor="accent1" w:themeShade="BF"/>
        <w:sz w:val="32"/>
        <w:szCs w:val="32"/>
        <w:lang w:eastAsia="pl-PL"/>
      </w:rPr>
      <w:drawing>
        <wp:inline distT="0" distB="0" distL="0" distR="0" wp14:anchorId="12ACCAF9" wp14:editId="09F37047">
          <wp:extent cx="5761355" cy="4451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45135"/>
                  </a:xfrm>
                  <a:prstGeom prst="rect">
                    <a:avLst/>
                  </a:prstGeom>
                  <a:noFill/>
                </pic:spPr>
              </pic:pic>
            </a:graphicData>
          </a:graphic>
        </wp:inline>
      </w:drawing>
    </w:r>
    <w:r>
      <w:rPr>
        <w:sz w:val="24"/>
      </w:rPr>
      <w:tab/>
    </w:r>
    <w:r w:rsidR="008D280B" w:rsidRPr="00DD0EEE">
      <w:rPr>
        <w:sz w:val="24"/>
      </w:rPr>
      <w:t xml:space="preserve">Strona </w:t>
    </w:r>
    <w:r w:rsidR="008D280B" w:rsidRPr="00DD0EEE">
      <w:rPr>
        <w:b/>
        <w:bCs/>
        <w:sz w:val="24"/>
        <w:szCs w:val="24"/>
        <w:lang w:val="en-GB"/>
      </w:rPr>
      <w:fldChar w:fldCharType="begin"/>
    </w:r>
    <w:r w:rsidR="008D280B" w:rsidRPr="00DD0EEE">
      <w:rPr>
        <w:b/>
        <w:bCs/>
        <w:sz w:val="24"/>
        <w:lang w:val="en-GB"/>
      </w:rPr>
      <w:instrText>PAGE</w:instrText>
    </w:r>
    <w:r w:rsidR="008D280B" w:rsidRPr="00DD0EEE">
      <w:rPr>
        <w:b/>
        <w:bCs/>
        <w:sz w:val="24"/>
        <w:szCs w:val="24"/>
        <w:lang w:val="en-GB"/>
      </w:rPr>
      <w:fldChar w:fldCharType="separate"/>
    </w:r>
    <w:r w:rsidR="003812EA">
      <w:rPr>
        <w:b/>
        <w:bCs/>
        <w:noProof/>
        <w:sz w:val="24"/>
        <w:lang w:val="en-GB"/>
      </w:rPr>
      <w:t>11</w:t>
    </w:r>
    <w:r w:rsidR="008D280B" w:rsidRPr="00DD0EEE">
      <w:rPr>
        <w:b/>
        <w:bCs/>
        <w:sz w:val="24"/>
        <w:szCs w:val="24"/>
        <w:lang w:val="en-GB"/>
      </w:rPr>
      <w:fldChar w:fldCharType="end"/>
    </w:r>
    <w:r w:rsidR="008D280B" w:rsidRPr="00DD0EEE">
      <w:rPr>
        <w:sz w:val="24"/>
      </w:rPr>
      <w:t xml:space="preserve"> z </w:t>
    </w:r>
    <w:r w:rsidR="008D280B" w:rsidRPr="00DD0EEE">
      <w:rPr>
        <w:b/>
        <w:bCs/>
        <w:sz w:val="24"/>
        <w:szCs w:val="24"/>
        <w:lang w:val="en-GB"/>
      </w:rPr>
      <w:fldChar w:fldCharType="begin"/>
    </w:r>
    <w:r w:rsidR="008D280B" w:rsidRPr="00DD0EEE">
      <w:rPr>
        <w:b/>
        <w:bCs/>
        <w:sz w:val="24"/>
        <w:lang w:val="en-GB"/>
      </w:rPr>
      <w:instrText>NUMPAGES</w:instrText>
    </w:r>
    <w:r w:rsidR="008D280B" w:rsidRPr="00DD0EEE">
      <w:rPr>
        <w:b/>
        <w:bCs/>
        <w:sz w:val="24"/>
        <w:szCs w:val="24"/>
        <w:lang w:val="en-GB"/>
      </w:rPr>
      <w:fldChar w:fldCharType="separate"/>
    </w:r>
    <w:r w:rsidR="003812EA">
      <w:rPr>
        <w:b/>
        <w:bCs/>
        <w:noProof/>
        <w:sz w:val="24"/>
        <w:lang w:val="en-GB"/>
      </w:rPr>
      <w:t>11</w:t>
    </w:r>
    <w:r w:rsidR="008D280B" w:rsidRPr="00DD0EEE">
      <w:rPr>
        <w:b/>
        <w:bCs/>
        <w:sz w:val="24"/>
        <w:szCs w:val="24"/>
        <w:lang w:val="en-GB"/>
      </w:rPr>
      <w:fldChar w:fldCharType="end"/>
    </w:r>
  </w:p>
  <w:p w14:paraId="4DDBEF00" w14:textId="77777777" w:rsidR="008D280B" w:rsidRDefault="008D28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20388220" w:rsidR="008D280B" w:rsidRDefault="008D280B" w:rsidP="009F3A98">
    <w:pPr>
      <w:pStyle w:val="Stopka"/>
      <w:tabs>
        <w:tab w:val="clear" w:pos="4536"/>
        <w:tab w:val="clear" w:pos="9072"/>
        <w:tab w:val="left" w:pos="7230"/>
      </w:tabs>
      <w:rPr>
        <w:noProof/>
        <w:sz w:val="20"/>
        <w:szCs w:val="20"/>
        <w:lang w:eastAsia="pl-PL"/>
      </w:rPr>
    </w:pPr>
  </w:p>
  <w:p w14:paraId="7AD42C70" w14:textId="77FA2103" w:rsidR="008D280B" w:rsidRDefault="00113E92" w:rsidP="009F3A98">
    <w:pPr>
      <w:pStyle w:val="Stopka"/>
      <w:tabs>
        <w:tab w:val="clear" w:pos="4536"/>
        <w:tab w:val="clear" w:pos="9072"/>
        <w:tab w:val="left" w:pos="7230"/>
      </w:tabs>
      <w:jc w:val="right"/>
    </w:pPr>
    <w:r>
      <w:rPr>
        <w:rFonts w:ascii="Arial" w:eastAsia="Times New Roman" w:hAnsi="Arial" w:cs="Arial"/>
        <w:noProof/>
        <w:color w:val="2F5496" w:themeColor="accent1" w:themeShade="BF"/>
        <w:sz w:val="32"/>
        <w:szCs w:val="32"/>
        <w:lang w:eastAsia="pl-PL"/>
      </w:rPr>
      <w:drawing>
        <wp:inline distT="0" distB="0" distL="0" distR="0" wp14:anchorId="787203A3" wp14:editId="49027787">
          <wp:extent cx="5761355" cy="4451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45135"/>
                  </a:xfrm>
                  <a:prstGeom prst="rect">
                    <a:avLst/>
                  </a:prstGeom>
                  <a:noFill/>
                </pic:spPr>
              </pic:pic>
            </a:graphicData>
          </a:graphic>
        </wp:inline>
      </w:drawing>
    </w:r>
    <w:r w:rsidR="008D280B" w:rsidRPr="00DD0EEE">
      <w:rPr>
        <w:sz w:val="24"/>
      </w:rPr>
      <w:t xml:space="preserve">Strona </w:t>
    </w:r>
    <w:r w:rsidR="008D280B" w:rsidRPr="00DD0EEE">
      <w:rPr>
        <w:b/>
        <w:bCs/>
        <w:sz w:val="24"/>
        <w:szCs w:val="24"/>
        <w:lang w:val="en-GB"/>
      </w:rPr>
      <w:fldChar w:fldCharType="begin"/>
    </w:r>
    <w:r w:rsidR="008D280B" w:rsidRPr="00DD0EEE">
      <w:rPr>
        <w:b/>
        <w:bCs/>
        <w:sz w:val="24"/>
        <w:lang w:val="en-GB"/>
      </w:rPr>
      <w:instrText>PAGE</w:instrText>
    </w:r>
    <w:r w:rsidR="008D280B" w:rsidRPr="00DD0EEE">
      <w:rPr>
        <w:b/>
        <w:bCs/>
        <w:sz w:val="24"/>
        <w:szCs w:val="24"/>
        <w:lang w:val="en-GB"/>
      </w:rPr>
      <w:fldChar w:fldCharType="separate"/>
    </w:r>
    <w:r w:rsidR="003812EA">
      <w:rPr>
        <w:b/>
        <w:bCs/>
        <w:noProof/>
        <w:sz w:val="24"/>
        <w:lang w:val="en-GB"/>
      </w:rPr>
      <w:t>1</w:t>
    </w:r>
    <w:r w:rsidR="008D280B" w:rsidRPr="00DD0EEE">
      <w:rPr>
        <w:b/>
        <w:bCs/>
        <w:sz w:val="24"/>
        <w:szCs w:val="24"/>
        <w:lang w:val="en-GB"/>
      </w:rPr>
      <w:fldChar w:fldCharType="end"/>
    </w:r>
    <w:r w:rsidR="008D280B" w:rsidRPr="00DD0EEE">
      <w:rPr>
        <w:sz w:val="24"/>
      </w:rPr>
      <w:t xml:space="preserve"> z </w:t>
    </w:r>
    <w:r w:rsidR="008D280B" w:rsidRPr="00DD0EEE">
      <w:rPr>
        <w:b/>
        <w:bCs/>
        <w:sz w:val="24"/>
        <w:szCs w:val="24"/>
        <w:lang w:val="en-GB"/>
      </w:rPr>
      <w:fldChar w:fldCharType="begin"/>
    </w:r>
    <w:r w:rsidR="008D280B" w:rsidRPr="00DD0EEE">
      <w:rPr>
        <w:b/>
        <w:bCs/>
        <w:sz w:val="24"/>
        <w:lang w:val="en-GB"/>
      </w:rPr>
      <w:instrText>NUMPAGES</w:instrText>
    </w:r>
    <w:r w:rsidR="008D280B" w:rsidRPr="00DD0EEE">
      <w:rPr>
        <w:b/>
        <w:bCs/>
        <w:sz w:val="24"/>
        <w:szCs w:val="24"/>
        <w:lang w:val="en-GB"/>
      </w:rPr>
      <w:fldChar w:fldCharType="separate"/>
    </w:r>
    <w:r w:rsidR="003812EA">
      <w:rPr>
        <w:b/>
        <w:bCs/>
        <w:noProof/>
        <w:sz w:val="24"/>
        <w:lang w:val="en-GB"/>
      </w:rPr>
      <w:t>11</w:t>
    </w:r>
    <w:r w:rsidR="008D280B" w:rsidRPr="00DD0EEE">
      <w:rPr>
        <w:b/>
        <w:bCs/>
        <w:sz w:val="24"/>
        <w:szCs w:val="24"/>
        <w:lang w:val="en-GB"/>
      </w:rPr>
      <w:fldChar w:fldCharType="end"/>
    </w:r>
  </w:p>
  <w:p w14:paraId="4B99056E" w14:textId="77777777" w:rsidR="008D280B" w:rsidRDefault="008D28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ADC73" w14:textId="77777777" w:rsidR="00DF51DA" w:rsidRDefault="00DF51DA" w:rsidP="00BA3860">
      <w:pPr>
        <w:spacing w:after="0" w:line="240" w:lineRule="auto"/>
      </w:pPr>
      <w:r>
        <w:separator/>
      </w:r>
    </w:p>
  </w:footnote>
  <w:footnote w:type="continuationSeparator" w:id="0">
    <w:p w14:paraId="0CD6DA10" w14:textId="77777777" w:rsidR="00DF51DA" w:rsidRDefault="00DF51DA" w:rsidP="00BA3860">
      <w:pPr>
        <w:spacing w:after="0" w:line="240" w:lineRule="auto"/>
      </w:pPr>
      <w:r>
        <w:continuationSeparator/>
      </w:r>
    </w:p>
  </w:footnote>
  <w:footnote w:type="continuationNotice" w:id="1">
    <w:p w14:paraId="05691904" w14:textId="77777777" w:rsidR="00DF51DA" w:rsidRDefault="00DF51DA">
      <w:pPr>
        <w:spacing w:after="0" w:line="240" w:lineRule="auto"/>
      </w:pPr>
    </w:p>
  </w:footnote>
  <w:footnote w:id="2">
    <w:p w14:paraId="65739CF5" w14:textId="07EB6C3D" w:rsidR="00603E37" w:rsidRDefault="00603E37">
      <w:pPr>
        <w:pStyle w:val="Tekstprzypisudolnego"/>
      </w:pPr>
      <w:r>
        <w:rPr>
          <w:rStyle w:val="Odwoanieprzypisudolnego"/>
        </w:rPr>
        <w:footnoteRef/>
      </w:r>
      <w:r>
        <w:t xml:space="preserve"> </w:t>
      </w:r>
      <w:r w:rsidRPr="00603E37">
        <w:t>https://kpnmab.pl/img/files/MaGIC/MaGIC2/MaGICLandscapes-Podrecznik-Zieloney-Infrastruktury.pdf</w:t>
      </w:r>
    </w:p>
  </w:footnote>
  <w:footnote w:id="3">
    <w:p w14:paraId="4437BDFB" w14:textId="77777777" w:rsidR="00503E80" w:rsidRDefault="00503E80" w:rsidP="00503E80">
      <w:pPr>
        <w:pStyle w:val="Tekstprzypisudolnego"/>
      </w:pPr>
      <w:r>
        <w:rPr>
          <w:rStyle w:val="Odwoanieprzypisudolnego"/>
        </w:rPr>
        <w:footnoteRef/>
      </w:r>
      <w:r>
        <w:t xml:space="preserve"> W uzasadnionych przypadkach, Partner Finansujący może zgodzić się na większą pojemność magazynu energii.</w:t>
      </w:r>
    </w:p>
  </w:footnote>
  <w:footnote w:id="4">
    <w:p w14:paraId="0AC5F11E" w14:textId="77777777" w:rsidR="002C5986" w:rsidRPr="001611BE" w:rsidRDefault="002C5986" w:rsidP="002C5986">
      <w:pPr>
        <w:pStyle w:val="Tekstprzypisudolnego"/>
      </w:pPr>
      <w:r w:rsidRPr="001611BE">
        <w:rPr>
          <w:rStyle w:val="Odwoanieprzypisudolnego"/>
        </w:rPr>
        <w:footnoteRef/>
      </w:r>
      <w:r w:rsidRPr="001611BE">
        <w:t xml:space="preserve"> Kocioł na biomasę oznacza: kocioł na </w:t>
      </w:r>
      <w:proofErr w:type="spellStart"/>
      <w:r w:rsidRPr="001611BE">
        <w:t>pelety</w:t>
      </w:r>
      <w:proofErr w:type="spellEnd"/>
      <w:r w:rsidRPr="001611BE">
        <w:t xml:space="preserve"> drzewne lub kocioł zgazowujący drewno, wypełniający odpowiednie wymagania jakościowe i emisyjne, zestawione w dokumencie „Przewodnik do sporządzania analizy wykonalności inwestycji OZE”</w:t>
      </w:r>
    </w:p>
  </w:footnote>
  <w:footnote w:id="5">
    <w:p w14:paraId="520FF732" w14:textId="77777777" w:rsidR="00503E80" w:rsidRPr="00CB7F63" w:rsidRDefault="00503E80" w:rsidP="00503E80">
      <w:pPr>
        <w:pStyle w:val="Tekstprzypisudolnego"/>
        <w:rPr>
          <w:sz w:val="18"/>
          <w:szCs w:val="18"/>
        </w:rPr>
      </w:pPr>
      <w:r>
        <w:rPr>
          <w:rStyle w:val="Odwoanieprzypisudolnego"/>
        </w:rPr>
        <w:footnoteRef/>
      </w:r>
      <w:r>
        <w:t xml:space="preserve"> </w:t>
      </w:r>
      <w:r w:rsidRPr="00CB7F63">
        <w:rPr>
          <w:sz w:val="18"/>
          <w:szCs w:val="18"/>
        </w:rPr>
        <w:t>Budynki publiczne, których właścicielem jest samorząd terytorialny oraz podległe mu organy i jednostki organizacyjne oraz jednostki zarządzane (szpitale, szkoły, zakłady lecznictwa uzdrowiskowego), budynki użyteczności publicznej nie związane z administracją rządową (w tym np. budynki parafii, instytucji NGO, niepublicznych zakładów opieki zdrowotnej, niepublicznych placówek oświatowych)– zgodnie z „Linią demarkacyjną Podział interwencji i zasad wdrażania programów krajowych i regionalnych w perspektywie finansowej na lata 2021-2027.</w:t>
      </w:r>
    </w:p>
    <w:p w14:paraId="498B2D44" w14:textId="77777777" w:rsidR="00503E80" w:rsidRDefault="00503E80" w:rsidP="00503E80">
      <w:pPr>
        <w:pStyle w:val="Tekstprzypisudolnego"/>
      </w:pPr>
    </w:p>
  </w:footnote>
  <w:footnote w:id="6">
    <w:p w14:paraId="44E32ED0" w14:textId="77777777" w:rsidR="00E1251B" w:rsidRDefault="00E1251B" w:rsidP="00E1251B">
      <w:pPr>
        <w:pStyle w:val="Tekstprzypisudolnego"/>
      </w:pPr>
      <w:r>
        <w:rPr>
          <w:rStyle w:val="Odwoanieprzypisudolnego"/>
        </w:rPr>
        <w:footnoteRef/>
      </w:r>
      <w:r>
        <w:t xml:space="preserve"> </w:t>
      </w:r>
      <w:r w:rsidRPr="00D02C9D">
        <w:t xml:space="preserve">Spółdzielnie, które najpóźniej na dzień rozliczenia Jednostkowej Pożyczki, zgodnie z </w:t>
      </w:r>
      <w:r w:rsidRPr="008A62FF">
        <w:t>Częścią IX pkt 23-24</w:t>
      </w:r>
      <w:r w:rsidRPr="00D02C9D">
        <w:t>, będą ujęte w wykazie spółdzielni energetycznych prowadzonym przez Dyrektora Generalnego Krajowego Ośrodka Wsparcia Rolnictwa (KOWR), o którym mowa w art. 38f ustawy z dnia 20 lutego 2015 r. o odnawialnych źródłach energii</w:t>
      </w:r>
      <w:r>
        <w:t>.</w:t>
      </w:r>
    </w:p>
  </w:footnote>
  <w:footnote w:id="7">
    <w:p w14:paraId="290B476C" w14:textId="50AB3E7C" w:rsidR="008D280B" w:rsidRPr="00C42EA2" w:rsidRDefault="008D280B" w:rsidP="006E708E">
      <w:pPr>
        <w:pStyle w:val="Tekstprzypisudolnego"/>
        <w:jc w:val="both"/>
        <w:rPr>
          <w:sz w:val="18"/>
          <w:szCs w:val="18"/>
        </w:rPr>
      </w:pPr>
      <w:r w:rsidRPr="00C42EA2">
        <w:rPr>
          <w:rStyle w:val="Odwoanieprzypisudolnego"/>
          <w:sz w:val="18"/>
          <w:szCs w:val="18"/>
        </w:rPr>
        <w:footnoteRef/>
      </w:r>
      <w:r w:rsidRPr="00C42EA2">
        <w:rPr>
          <w:sz w:val="18"/>
          <w:szCs w:val="18"/>
        </w:rPr>
        <w:t xml:space="preserve"> W przypadku przyjęcia zabezpieczenia w formie hipoteki na nieruchomości zabudowanej,</w:t>
      </w:r>
      <w:r w:rsidR="00956099">
        <w:rPr>
          <w:sz w:val="18"/>
          <w:szCs w:val="18"/>
        </w:rPr>
        <w:t xml:space="preserve"> </w:t>
      </w:r>
      <w:r w:rsidRPr="00C42EA2">
        <w:rPr>
          <w:sz w:val="18"/>
          <w:szCs w:val="18"/>
        </w:rPr>
        <w:t>zastawu rejestrowego lub przewłaszczenia środków trwałych rekomendowane jest przyjęcie dodatkowego zabezpieczenia w postaci cesji praw z polisy ubezpieczenia rzeczy stanowiącej przedmiot zabezpieczenia, o ile przelew praw z polisy jest możliwy i uzasadniony np. wynikiem oceny Wniosku. Przedmiot zabezpieczenia powinien być, co do zasady, objęty umową ubezpieczenia w całym okresie spłaty pożyczki. W przypadku zabezpieczenia w formie hipoteki wymagana jest analiza/ ocena wartości przedmiotu mającego stanowić zabezpieczenie/dodatkowe zabezpieczenie.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8D280B" w:rsidRPr="00242425" w:rsidRDefault="008D280B" w:rsidP="0076705C">
    <w:pPr>
      <w:pStyle w:val="Nagwek"/>
      <w:tabs>
        <w:tab w:val="clear" w:pos="9072"/>
        <w:tab w:val="left" w:pos="5559"/>
      </w:tabs>
      <w:spacing w:before="144" w:after="144"/>
      <w:rPr>
        <w:sz w:val="16"/>
        <w:szCs w:val="16"/>
      </w:rPr>
    </w:pPr>
    <w:r w:rsidRPr="00CD29AD">
      <w:rPr>
        <w:rFonts w:ascii="Arial" w:hAnsi="Arial" w:cs="Arial"/>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8D280B" w:rsidRPr="00242425" w:rsidRDefault="008D280B" w:rsidP="009F3A98">
    <w:pPr>
      <w:pStyle w:val="Nagwek"/>
      <w:tabs>
        <w:tab w:val="clear" w:pos="9072"/>
        <w:tab w:val="left" w:pos="5559"/>
      </w:tabs>
      <w:spacing w:before="144" w:after="144"/>
      <w:rPr>
        <w:sz w:val="16"/>
        <w:szCs w:val="16"/>
      </w:rPr>
    </w:pPr>
    <w:r w:rsidRPr="00CD29AD">
      <w:rPr>
        <w:rFonts w:ascii="Arial" w:hAnsi="Arial" w:cs="Arial"/>
        <w:noProof/>
      </w:rPr>
      <w:tab/>
    </w:r>
    <w:r>
      <w:rPr>
        <w:rFonts w:ascii="Arial" w:hAnsi="Arial" w:cs="Arial"/>
        <w:noProof/>
      </w:rPr>
      <w:tab/>
    </w:r>
    <w:r>
      <w:rPr>
        <w:rFonts w:ascii="Arial" w:hAnsi="Arial" w:cs="Arial"/>
        <w:noProof/>
      </w:rPr>
      <w:tab/>
    </w:r>
    <w:r w:rsidRPr="00CD29AD">
      <w:rPr>
        <w:rFonts w:ascii="Arial" w:hAnsi="Arial" w:cs="Arial"/>
        <w:noProof/>
      </w:rPr>
      <w:tab/>
    </w:r>
    <w:r w:rsidRPr="000A5B2F">
      <w:rPr>
        <w:noProof/>
        <w:lang w:eastAsia="pl-PL"/>
      </w:rPr>
      <w:drawing>
        <wp:inline distT="0" distB="0" distL="0" distR="0" wp14:anchorId="7BC28B77" wp14:editId="07777777">
          <wp:extent cx="1704975" cy="381000"/>
          <wp:effectExtent l="0" t="0" r="0" b="0"/>
          <wp:docPr id="17" name="Obraz 17" descr="P:\2014_2020\Promo_Info\0_Wlasne\Logotypy i szablony pism_prezentacje\BGK\BGK-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P:\2014_2020\Promo_Info\0_Wlasne\Logotypy i szablony pism_prezentacje\BGK\BGK-log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E7"/>
    <w:multiLevelType w:val="hybridMultilevel"/>
    <w:tmpl w:val="5CFA440A"/>
    <w:lvl w:ilvl="0" w:tplc="0415000F">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10D6BFF"/>
    <w:multiLevelType w:val="hybridMultilevel"/>
    <w:tmpl w:val="5328A1E0"/>
    <w:lvl w:ilvl="0" w:tplc="82C0A2EE">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E00F60"/>
    <w:multiLevelType w:val="hybridMultilevel"/>
    <w:tmpl w:val="25DE39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47CD1"/>
    <w:multiLevelType w:val="hybridMultilevel"/>
    <w:tmpl w:val="FD30C500"/>
    <w:lvl w:ilvl="0" w:tplc="33A46492">
      <w:start w:val="1"/>
      <w:numFmt w:val="lowerLetter"/>
      <w:lvlText w:val="%1)"/>
      <w:lvlJc w:val="left"/>
      <w:pPr>
        <w:ind w:left="1776" w:hanging="360"/>
      </w:pPr>
      <w:rPr>
        <w:b w:val="0"/>
        <w:bCs w:val="0"/>
      </w:rPr>
    </w:lvl>
    <w:lvl w:ilvl="1" w:tplc="08090019">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4" w15:restartNumberingAfterBreak="0">
    <w:nsid w:val="076A2BD8"/>
    <w:multiLevelType w:val="hybridMultilevel"/>
    <w:tmpl w:val="8FCCE696"/>
    <w:lvl w:ilvl="0" w:tplc="C3203F3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CD53D5"/>
    <w:multiLevelType w:val="hybridMultilevel"/>
    <w:tmpl w:val="4BA0CDF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232DA3"/>
    <w:multiLevelType w:val="hybridMultilevel"/>
    <w:tmpl w:val="FBE4F16A"/>
    <w:lvl w:ilvl="0" w:tplc="0D280A8C">
      <w:start w:val="1"/>
      <w:numFmt w:val="bullet"/>
      <w:lvlText w:val=""/>
      <w:lvlJc w:val="left"/>
      <w:pPr>
        <w:ind w:left="720" w:hanging="360"/>
      </w:pPr>
      <w:rPr>
        <w:rFonts w:ascii="Symbol" w:hAnsi="Symbol"/>
      </w:rPr>
    </w:lvl>
    <w:lvl w:ilvl="1" w:tplc="EF66B6FC">
      <w:start w:val="1"/>
      <w:numFmt w:val="bullet"/>
      <w:lvlText w:val=""/>
      <w:lvlJc w:val="left"/>
      <w:pPr>
        <w:ind w:left="720" w:hanging="360"/>
      </w:pPr>
      <w:rPr>
        <w:rFonts w:ascii="Symbol" w:hAnsi="Symbol"/>
      </w:rPr>
    </w:lvl>
    <w:lvl w:ilvl="2" w:tplc="9222B19C">
      <w:start w:val="1"/>
      <w:numFmt w:val="bullet"/>
      <w:lvlText w:val=""/>
      <w:lvlJc w:val="left"/>
      <w:pPr>
        <w:ind w:left="720" w:hanging="360"/>
      </w:pPr>
      <w:rPr>
        <w:rFonts w:ascii="Symbol" w:hAnsi="Symbol"/>
      </w:rPr>
    </w:lvl>
    <w:lvl w:ilvl="3" w:tplc="2CDA2CB8">
      <w:start w:val="1"/>
      <w:numFmt w:val="bullet"/>
      <w:lvlText w:val=""/>
      <w:lvlJc w:val="left"/>
      <w:pPr>
        <w:ind w:left="720" w:hanging="360"/>
      </w:pPr>
      <w:rPr>
        <w:rFonts w:ascii="Symbol" w:hAnsi="Symbol"/>
      </w:rPr>
    </w:lvl>
    <w:lvl w:ilvl="4" w:tplc="1A8E4396">
      <w:start w:val="1"/>
      <w:numFmt w:val="bullet"/>
      <w:lvlText w:val=""/>
      <w:lvlJc w:val="left"/>
      <w:pPr>
        <w:ind w:left="720" w:hanging="360"/>
      </w:pPr>
      <w:rPr>
        <w:rFonts w:ascii="Symbol" w:hAnsi="Symbol"/>
      </w:rPr>
    </w:lvl>
    <w:lvl w:ilvl="5" w:tplc="1C38DE3C">
      <w:start w:val="1"/>
      <w:numFmt w:val="bullet"/>
      <w:lvlText w:val=""/>
      <w:lvlJc w:val="left"/>
      <w:pPr>
        <w:ind w:left="720" w:hanging="360"/>
      </w:pPr>
      <w:rPr>
        <w:rFonts w:ascii="Symbol" w:hAnsi="Symbol"/>
      </w:rPr>
    </w:lvl>
    <w:lvl w:ilvl="6" w:tplc="35F66880">
      <w:start w:val="1"/>
      <w:numFmt w:val="bullet"/>
      <w:lvlText w:val=""/>
      <w:lvlJc w:val="left"/>
      <w:pPr>
        <w:ind w:left="720" w:hanging="360"/>
      </w:pPr>
      <w:rPr>
        <w:rFonts w:ascii="Symbol" w:hAnsi="Symbol"/>
      </w:rPr>
    </w:lvl>
    <w:lvl w:ilvl="7" w:tplc="558A245A">
      <w:start w:val="1"/>
      <w:numFmt w:val="bullet"/>
      <w:lvlText w:val=""/>
      <w:lvlJc w:val="left"/>
      <w:pPr>
        <w:ind w:left="720" w:hanging="360"/>
      </w:pPr>
      <w:rPr>
        <w:rFonts w:ascii="Symbol" w:hAnsi="Symbol"/>
      </w:rPr>
    </w:lvl>
    <w:lvl w:ilvl="8" w:tplc="0A829446">
      <w:start w:val="1"/>
      <w:numFmt w:val="bullet"/>
      <w:lvlText w:val=""/>
      <w:lvlJc w:val="left"/>
      <w:pPr>
        <w:ind w:left="720" w:hanging="360"/>
      </w:pPr>
      <w:rPr>
        <w:rFonts w:ascii="Symbol" w:hAnsi="Symbol"/>
      </w:rPr>
    </w:lvl>
  </w:abstractNum>
  <w:abstractNum w:abstractNumId="7" w15:restartNumberingAfterBreak="0">
    <w:nsid w:val="0A3119B8"/>
    <w:multiLevelType w:val="hybridMultilevel"/>
    <w:tmpl w:val="D61447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410A6A"/>
    <w:multiLevelType w:val="hybridMultilevel"/>
    <w:tmpl w:val="60760064"/>
    <w:lvl w:ilvl="0" w:tplc="FD9E5FBC">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775605"/>
    <w:multiLevelType w:val="hybridMultilevel"/>
    <w:tmpl w:val="15884006"/>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2B270E"/>
    <w:multiLevelType w:val="hybridMultilevel"/>
    <w:tmpl w:val="99EC5F5A"/>
    <w:lvl w:ilvl="0" w:tplc="72A246C4">
      <w:start w:val="1"/>
      <w:numFmt w:val="decimal"/>
      <w:lvlText w:val="%1)"/>
      <w:lvlJc w:val="left"/>
      <w:pPr>
        <w:tabs>
          <w:tab w:val="num" w:pos="928"/>
        </w:tabs>
        <w:ind w:left="92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6C4517"/>
    <w:multiLevelType w:val="hybridMultilevel"/>
    <w:tmpl w:val="967ED0AE"/>
    <w:lvl w:ilvl="0" w:tplc="B46E539E">
      <w:start w:val="1"/>
      <w:numFmt w:val="decimal"/>
      <w:lvlText w:val="%1."/>
      <w:lvlJc w:val="left"/>
      <w:pPr>
        <w:ind w:left="720" w:hanging="360"/>
      </w:pPr>
      <w:rPr>
        <w:rFonts w:hint="default"/>
      </w:rPr>
    </w:lvl>
    <w:lvl w:ilvl="1" w:tplc="1BDE73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BC46B6"/>
    <w:multiLevelType w:val="hybridMultilevel"/>
    <w:tmpl w:val="A648C78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26765A"/>
    <w:multiLevelType w:val="hybridMultilevel"/>
    <w:tmpl w:val="787E05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F67871"/>
    <w:multiLevelType w:val="hybridMultilevel"/>
    <w:tmpl w:val="B1024ECA"/>
    <w:lvl w:ilvl="0" w:tplc="E3329B80">
      <w:start w:val="1"/>
      <w:numFmt w:val="decimal"/>
      <w:lvlText w:val="%1."/>
      <w:lvlJc w:val="left"/>
      <w:pPr>
        <w:tabs>
          <w:tab w:val="num" w:pos="785"/>
        </w:tabs>
        <w:ind w:left="785" w:hanging="360"/>
      </w:pPr>
      <w:rPr>
        <w:rFonts w:hint="default"/>
        <w:color w:val="auto"/>
      </w:rPr>
    </w:lvl>
    <w:lvl w:ilvl="1" w:tplc="04150017">
      <w:start w:val="1"/>
      <w:numFmt w:val="lowerLetter"/>
      <w:lvlText w:val="%2)"/>
      <w:lvlJc w:val="left"/>
      <w:pPr>
        <w:tabs>
          <w:tab w:val="num" w:pos="1865"/>
        </w:tabs>
        <w:ind w:left="1865" w:hanging="360"/>
      </w:p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5" w15:restartNumberingAfterBreak="0">
    <w:nsid w:val="14925560"/>
    <w:multiLevelType w:val="hybridMultilevel"/>
    <w:tmpl w:val="C952D3F0"/>
    <w:lvl w:ilvl="0" w:tplc="F0C20C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EF3D5E"/>
    <w:multiLevelType w:val="hybridMultilevel"/>
    <w:tmpl w:val="D4A2EF72"/>
    <w:lvl w:ilvl="0" w:tplc="FFFFFFFF">
      <w:start w:val="1"/>
      <w:numFmt w:val="decimal"/>
      <w:lvlText w:val="%1."/>
      <w:lvlJc w:val="left"/>
      <w:pPr>
        <w:ind w:left="36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04150017">
      <w:start w:val="1"/>
      <w:numFmt w:val="lowerLetter"/>
      <w:lvlText w:val="%4)"/>
      <w:lvlJc w:val="left"/>
      <w:pPr>
        <w:ind w:left="1996"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630A52"/>
    <w:multiLevelType w:val="hybridMultilevel"/>
    <w:tmpl w:val="F3023BCE"/>
    <w:lvl w:ilvl="0" w:tplc="D1D6901E">
      <w:start w:val="1"/>
      <w:numFmt w:val="lowerLetter"/>
      <w:lvlText w:val="%1)"/>
      <w:lvlJc w:val="left"/>
      <w:pPr>
        <w:ind w:left="1713" w:hanging="360"/>
      </w:pPr>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18D42F53"/>
    <w:multiLevelType w:val="hybridMultilevel"/>
    <w:tmpl w:val="81FC1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586B84"/>
    <w:multiLevelType w:val="hybridMultilevel"/>
    <w:tmpl w:val="DA5CB89E"/>
    <w:lvl w:ilvl="0" w:tplc="3A683210">
      <w:start w:val="1"/>
      <w:numFmt w:val="decimal"/>
      <w:lvlText w:val="%1."/>
      <w:lvlJc w:val="left"/>
      <w:pPr>
        <w:ind w:left="785" w:hanging="360"/>
      </w:pPr>
      <w:rPr>
        <w:rFonts w:ascii="Calibri" w:eastAsia="Calibri" w:hAnsi="Calibri" w:cs="Times New Roman"/>
        <w:strike w:val="0"/>
        <w:color w:val="auto"/>
      </w:rPr>
    </w:lvl>
    <w:lvl w:ilvl="1" w:tplc="04150011">
      <w:start w:val="1"/>
      <w:numFmt w:val="decimal"/>
      <w:lvlText w:val="%2)"/>
      <w:lvlJc w:val="left"/>
      <w:pPr>
        <w:ind w:left="1353"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1A67180B"/>
    <w:multiLevelType w:val="hybridMultilevel"/>
    <w:tmpl w:val="67440808"/>
    <w:lvl w:ilvl="0" w:tplc="89D0815C">
      <w:start w:val="1"/>
      <w:numFmt w:val="decimal"/>
      <w:lvlText w:val="%1."/>
      <w:lvlJc w:val="left"/>
      <w:pPr>
        <w:ind w:left="928" w:hanging="360"/>
      </w:pPr>
      <w:rPr>
        <w:rFonts w:hint="default"/>
        <w:b w:val="0"/>
      </w:rPr>
    </w:lvl>
    <w:lvl w:ilvl="1" w:tplc="04150017">
      <w:start w:val="1"/>
      <w:numFmt w:val="lowerLetter"/>
      <w:lvlText w:val="%2)"/>
      <w:lvlJc w:val="left"/>
      <w:pPr>
        <w:ind w:left="1713"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403301F"/>
    <w:multiLevelType w:val="hybridMultilevel"/>
    <w:tmpl w:val="BDC01E8C"/>
    <w:lvl w:ilvl="0" w:tplc="04150017">
      <w:start w:val="1"/>
      <w:numFmt w:val="lowerLetter"/>
      <w:lvlText w:val="%1)"/>
      <w:lvlJc w:val="left"/>
      <w:pPr>
        <w:ind w:left="1363" w:hanging="360"/>
      </w:p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22" w15:restartNumberingAfterBreak="0">
    <w:nsid w:val="26624566"/>
    <w:multiLevelType w:val="hybridMultilevel"/>
    <w:tmpl w:val="47641698"/>
    <w:lvl w:ilvl="0" w:tplc="FFFFFFFF">
      <w:start w:val="1"/>
      <w:numFmt w:val="decimal"/>
      <w:lvlText w:val="%1)"/>
      <w:lvlJc w:val="left"/>
      <w:pPr>
        <w:ind w:left="3905" w:hanging="360"/>
      </w:pPr>
      <w:rPr>
        <w:rFonts w:hint="default"/>
        <w:sz w:val="22"/>
        <w:szCs w:val="22"/>
      </w:rPr>
    </w:lvl>
    <w:lvl w:ilvl="1" w:tplc="FFFFFFFF">
      <w:start w:val="1"/>
      <w:numFmt w:val="bullet"/>
      <w:lvlText w:val="o"/>
      <w:lvlJc w:val="left"/>
      <w:pPr>
        <w:ind w:left="2420" w:hanging="360"/>
      </w:pPr>
      <w:rPr>
        <w:rFonts w:ascii="Courier New" w:hAnsi="Courier New" w:cs="Courier New" w:hint="default"/>
      </w:rPr>
    </w:lvl>
    <w:lvl w:ilvl="2" w:tplc="FFFFFFFF" w:tentative="1">
      <w:start w:val="1"/>
      <w:numFmt w:val="bullet"/>
      <w:lvlText w:val=""/>
      <w:lvlJc w:val="left"/>
      <w:pPr>
        <w:ind w:left="3140" w:hanging="360"/>
      </w:pPr>
      <w:rPr>
        <w:rFonts w:ascii="Wingdings" w:hAnsi="Wingdings" w:hint="default"/>
      </w:rPr>
    </w:lvl>
    <w:lvl w:ilvl="3" w:tplc="FFFFFFFF" w:tentative="1">
      <w:start w:val="1"/>
      <w:numFmt w:val="bullet"/>
      <w:lvlText w:val=""/>
      <w:lvlJc w:val="left"/>
      <w:pPr>
        <w:ind w:left="3860" w:hanging="360"/>
      </w:pPr>
      <w:rPr>
        <w:rFonts w:ascii="Symbol" w:hAnsi="Symbol" w:hint="default"/>
      </w:rPr>
    </w:lvl>
    <w:lvl w:ilvl="4" w:tplc="FFFFFFFF" w:tentative="1">
      <w:start w:val="1"/>
      <w:numFmt w:val="bullet"/>
      <w:lvlText w:val="o"/>
      <w:lvlJc w:val="left"/>
      <w:pPr>
        <w:ind w:left="4580" w:hanging="360"/>
      </w:pPr>
      <w:rPr>
        <w:rFonts w:ascii="Courier New" w:hAnsi="Courier New" w:cs="Courier New" w:hint="default"/>
      </w:rPr>
    </w:lvl>
    <w:lvl w:ilvl="5" w:tplc="FFFFFFFF" w:tentative="1">
      <w:start w:val="1"/>
      <w:numFmt w:val="bullet"/>
      <w:lvlText w:val=""/>
      <w:lvlJc w:val="left"/>
      <w:pPr>
        <w:ind w:left="5300" w:hanging="360"/>
      </w:pPr>
      <w:rPr>
        <w:rFonts w:ascii="Wingdings" w:hAnsi="Wingdings" w:hint="default"/>
      </w:rPr>
    </w:lvl>
    <w:lvl w:ilvl="6" w:tplc="FFFFFFFF" w:tentative="1">
      <w:start w:val="1"/>
      <w:numFmt w:val="bullet"/>
      <w:lvlText w:val=""/>
      <w:lvlJc w:val="left"/>
      <w:pPr>
        <w:ind w:left="6020" w:hanging="360"/>
      </w:pPr>
      <w:rPr>
        <w:rFonts w:ascii="Symbol" w:hAnsi="Symbol" w:hint="default"/>
      </w:rPr>
    </w:lvl>
    <w:lvl w:ilvl="7" w:tplc="FFFFFFFF" w:tentative="1">
      <w:start w:val="1"/>
      <w:numFmt w:val="bullet"/>
      <w:lvlText w:val="o"/>
      <w:lvlJc w:val="left"/>
      <w:pPr>
        <w:ind w:left="6740" w:hanging="360"/>
      </w:pPr>
      <w:rPr>
        <w:rFonts w:ascii="Courier New" w:hAnsi="Courier New" w:cs="Courier New" w:hint="default"/>
      </w:rPr>
    </w:lvl>
    <w:lvl w:ilvl="8" w:tplc="FFFFFFFF" w:tentative="1">
      <w:start w:val="1"/>
      <w:numFmt w:val="bullet"/>
      <w:lvlText w:val=""/>
      <w:lvlJc w:val="left"/>
      <w:pPr>
        <w:ind w:left="7460" w:hanging="360"/>
      </w:pPr>
      <w:rPr>
        <w:rFonts w:ascii="Wingdings" w:hAnsi="Wingdings" w:hint="default"/>
      </w:rPr>
    </w:lvl>
  </w:abstractNum>
  <w:abstractNum w:abstractNumId="23" w15:restartNumberingAfterBreak="0">
    <w:nsid w:val="29247515"/>
    <w:multiLevelType w:val="hybridMultilevel"/>
    <w:tmpl w:val="8AA0BEFC"/>
    <w:lvl w:ilvl="0" w:tplc="0415000F">
      <w:start w:val="1"/>
      <w:numFmt w:val="decimal"/>
      <w:lvlText w:val="%1."/>
      <w:lvlJc w:val="left"/>
      <w:pPr>
        <w:ind w:left="786" w:hanging="360"/>
      </w:pPr>
      <w:rPr>
        <w:rFonts w:hint="default"/>
      </w:rPr>
    </w:lvl>
    <w:lvl w:ilvl="1" w:tplc="04150017">
      <w:start w:val="1"/>
      <w:numFmt w:val="lowerLetter"/>
      <w:lvlText w:val="%2)"/>
      <w:lvlJc w:val="left"/>
      <w:pPr>
        <w:ind w:left="360" w:hanging="360"/>
      </w:pPr>
    </w:lvl>
    <w:lvl w:ilvl="2" w:tplc="04150005">
      <w:start w:val="1"/>
      <w:numFmt w:val="bullet"/>
      <w:lvlText w:val=""/>
      <w:lvlJc w:val="left"/>
      <w:pPr>
        <w:ind w:left="2880" w:hanging="360"/>
      </w:pPr>
      <w:rPr>
        <w:rFonts w:ascii="Wingdings" w:hAnsi="Wingdings" w:hint="default"/>
      </w:rPr>
    </w:lvl>
    <w:lvl w:ilvl="3" w:tplc="0415000F">
      <w:start w:val="1"/>
      <w:numFmt w:val="decimal"/>
      <w:lvlText w:val="%4."/>
      <w:lvlJc w:val="left"/>
      <w:pPr>
        <w:ind w:left="3600" w:hanging="360"/>
      </w:pPr>
    </w:lvl>
    <w:lvl w:ilvl="4" w:tplc="04150003">
      <w:start w:val="1"/>
      <w:numFmt w:val="bullet"/>
      <w:lvlText w:val="o"/>
      <w:lvlJc w:val="left"/>
      <w:pPr>
        <w:ind w:left="4320" w:hanging="360"/>
      </w:pPr>
      <w:rPr>
        <w:rFonts w:ascii="Courier New" w:hAnsi="Courier New" w:cs="Courier New" w:hint="default"/>
      </w:rPr>
    </w:lvl>
    <w:lvl w:ilvl="5" w:tplc="276A8A2C">
      <w:start w:val="1"/>
      <w:numFmt w:val="upperLetter"/>
      <w:lvlText w:val="%6."/>
      <w:lvlJc w:val="left"/>
      <w:pPr>
        <w:ind w:left="5040" w:hanging="360"/>
      </w:pPr>
      <w:rPr>
        <w:rFonts w:hint="default"/>
      </w:rPr>
    </w:lvl>
    <w:lvl w:ilvl="6" w:tplc="508444BE">
      <w:start w:val="3"/>
      <w:numFmt w:val="upperLetter"/>
      <w:lvlText w:val="%7."/>
      <w:lvlJc w:val="left"/>
      <w:pPr>
        <w:ind w:left="5760" w:hanging="360"/>
      </w:pPr>
      <w:rPr>
        <w:rFonts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A426DEE"/>
    <w:multiLevelType w:val="hybridMultilevel"/>
    <w:tmpl w:val="57A4A980"/>
    <w:lvl w:ilvl="0" w:tplc="BD16651C">
      <w:start w:val="1"/>
      <w:numFmt w:val="decimal"/>
      <w:lvlText w:val="%1."/>
      <w:lvlJc w:val="left"/>
      <w:pPr>
        <w:ind w:left="720" w:hanging="360"/>
      </w:pPr>
      <w:rPr>
        <w:rFonts w:hint="default"/>
      </w:rPr>
    </w:lvl>
    <w:lvl w:ilvl="1" w:tplc="487C16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7A5492"/>
    <w:multiLevelType w:val="hybridMultilevel"/>
    <w:tmpl w:val="91502D0C"/>
    <w:lvl w:ilvl="0" w:tplc="FFFFFFFF">
      <w:start w:val="1"/>
      <w:numFmt w:val="decimal"/>
      <w:lvlText w:val="%1)"/>
      <w:lvlJc w:val="left"/>
      <w:pPr>
        <w:ind w:left="1428" w:hanging="360"/>
      </w:pPr>
    </w:lvl>
    <w:lvl w:ilvl="1" w:tplc="04150011">
      <w:start w:val="1"/>
      <w:numFmt w:val="decimal"/>
      <w:lvlText w:val="%2)"/>
      <w:lvlJc w:val="left"/>
      <w:pPr>
        <w:ind w:left="720" w:hanging="360"/>
      </w:pPr>
    </w:lvl>
    <w:lvl w:ilvl="2" w:tplc="FFFFFFFF">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2D08AF7D"/>
    <w:multiLevelType w:val="hybridMultilevel"/>
    <w:tmpl w:val="99E45D7A"/>
    <w:lvl w:ilvl="0" w:tplc="6390E826">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D0D0B78"/>
    <w:multiLevelType w:val="hybridMultilevel"/>
    <w:tmpl w:val="74A6843E"/>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2E4D7F85"/>
    <w:multiLevelType w:val="hybridMultilevel"/>
    <w:tmpl w:val="D354F0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1123F51"/>
    <w:multiLevelType w:val="hybridMultilevel"/>
    <w:tmpl w:val="76B0DE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1C6420"/>
    <w:multiLevelType w:val="hybridMultilevel"/>
    <w:tmpl w:val="D8FE3EFA"/>
    <w:lvl w:ilvl="0" w:tplc="04150011">
      <w:start w:val="1"/>
      <w:numFmt w:val="decimal"/>
      <w:lvlText w:val="%1)"/>
      <w:lvlJc w:val="left"/>
      <w:pPr>
        <w:ind w:left="1363" w:hanging="360"/>
      </w:p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31" w15:restartNumberingAfterBreak="0">
    <w:nsid w:val="34555C8A"/>
    <w:multiLevelType w:val="hybridMultilevel"/>
    <w:tmpl w:val="47421D62"/>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2" w15:restartNumberingAfterBreak="0">
    <w:nsid w:val="3A7017E8"/>
    <w:multiLevelType w:val="hybridMultilevel"/>
    <w:tmpl w:val="26CE3134"/>
    <w:lvl w:ilvl="0" w:tplc="34FE56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D25684E"/>
    <w:multiLevelType w:val="hybridMultilevel"/>
    <w:tmpl w:val="6AE2E764"/>
    <w:lvl w:ilvl="0" w:tplc="04150017">
      <w:start w:val="1"/>
      <w:numFmt w:val="lowerLetter"/>
      <w:lvlText w:val="%1)"/>
      <w:lvlJc w:val="left"/>
      <w:pPr>
        <w:ind w:left="1908" w:hanging="360"/>
      </w:pPr>
    </w:lvl>
    <w:lvl w:ilvl="1" w:tplc="04150019" w:tentative="1">
      <w:start w:val="1"/>
      <w:numFmt w:val="lowerLetter"/>
      <w:lvlText w:val="%2."/>
      <w:lvlJc w:val="left"/>
      <w:pPr>
        <w:ind w:left="2628" w:hanging="360"/>
      </w:pPr>
    </w:lvl>
    <w:lvl w:ilvl="2" w:tplc="0415001B" w:tentative="1">
      <w:start w:val="1"/>
      <w:numFmt w:val="lowerRoman"/>
      <w:lvlText w:val="%3."/>
      <w:lvlJc w:val="right"/>
      <w:pPr>
        <w:ind w:left="3348" w:hanging="180"/>
      </w:pPr>
    </w:lvl>
    <w:lvl w:ilvl="3" w:tplc="0415000F" w:tentative="1">
      <w:start w:val="1"/>
      <w:numFmt w:val="decimal"/>
      <w:lvlText w:val="%4."/>
      <w:lvlJc w:val="left"/>
      <w:pPr>
        <w:ind w:left="4068" w:hanging="360"/>
      </w:pPr>
    </w:lvl>
    <w:lvl w:ilvl="4" w:tplc="04150019" w:tentative="1">
      <w:start w:val="1"/>
      <w:numFmt w:val="lowerLetter"/>
      <w:lvlText w:val="%5."/>
      <w:lvlJc w:val="left"/>
      <w:pPr>
        <w:ind w:left="4788" w:hanging="360"/>
      </w:pPr>
    </w:lvl>
    <w:lvl w:ilvl="5" w:tplc="0415001B" w:tentative="1">
      <w:start w:val="1"/>
      <w:numFmt w:val="lowerRoman"/>
      <w:lvlText w:val="%6."/>
      <w:lvlJc w:val="right"/>
      <w:pPr>
        <w:ind w:left="5508" w:hanging="180"/>
      </w:pPr>
    </w:lvl>
    <w:lvl w:ilvl="6" w:tplc="0415000F" w:tentative="1">
      <w:start w:val="1"/>
      <w:numFmt w:val="decimal"/>
      <w:lvlText w:val="%7."/>
      <w:lvlJc w:val="left"/>
      <w:pPr>
        <w:ind w:left="6228" w:hanging="360"/>
      </w:pPr>
    </w:lvl>
    <w:lvl w:ilvl="7" w:tplc="04150019" w:tentative="1">
      <w:start w:val="1"/>
      <w:numFmt w:val="lowerLetter"/>
      <w:lvlText w:val="%8."/>
      <w:lvlJc w:val="left"/>
      <w:pPr>
        <w:ind w:left="6948" w:hanging="360"/>
      </w:pPr>
    </w:lvl>
    <w:lvl w:ilvl="8" w:tplc="0415001B" w:tentative="1">
      <w:start w:val="1"/>
      <w:numFmt w:val="lowerRoman"/>
      <w:lvlText w:val="%9."/>
      <w:lvlJc w:val="right"/>
      <w:pPr>
        <w:ind w:left="7668" w:hanging="180"/>
      </w:pPr>
    </w:lvl>
  </w:abstractNum>
  <w:abstractNum w:abstractNumId="34" w15:restartNumberingAfterBreak="0">
    <w:nsid w:val="4F3C67D7"/>
    <w:multiLevelType w:val="hybridMultilevel"/>
    <w:tmpl w:val="DF3C8F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1713"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A90025"/>
    <w:multiLevelType w:val="hybridMultilevel"/>
    <w:tmpl w:val="918E90A4"/>
    <w:lvl w:ilvl="0" w:tplc="087035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256F07"/>
    <w:multiLevelType w:val="hybridMultilevel"/>
    <w:tmpl w:val="F51269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10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3B628A"/>
    <w:multiLevelType w:val="hybridMultilevel"/>
    <w:tmpl w:val="7CE4BE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5349B1"/>
    <w:multiLevelType w:val="hybridMultilevel"/>
    <w:tmpl w:val="7B1E8B34"/>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9" w15:restartNumberingAfterBreak="0">
    <w:nsid w:val="5FF46183"/>
    <w:multiLevelType w:val="hybridMultilevel"/>
    <w:tmpl w:val="3E129462"/>
    <w:lvl w:ilvl="0" w:tplc="FFFFFFFF">
      <w:start w:val="1"/>
      <w:numFmt w:val="lowerLetter"/>
      <w:lvlText w:val="%1)"/>
      <w:lvlJc w:val="left"/>
      <w:pPr>
        <w:ind w:left="720" w:hanging="360"/>
      </w:pPr>
    </w:lvl>
    <w:lvl w:ilvl="1" w:tplc="04150017">
      <w:start w:val="1"/>
      <w:numFmt w:val="lowerLetter"/>
      <w:lvlText w:val="%2)"/>
      <w:lvlJc w:val="left"/>
      <w:pPr>
        <w:ind w:left="171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3B45DD"/>
    <w:multiLevelType w:val="hybridMultilevel"/>
    <w:tmpl w:val="67440808"/>
    <w:lvl w:ilvl="0" w:tplc="89D0815C">
      <w:start w:val="1"/>
      <w:numFmt w:val="decimal"/>
      <w:lvlText w:val="%1."/>
      <w:lvlJc w:val="left"/>
      <w:pPr>
        <w:ind w:left="360" w:hanging="360"/>
      </w:pPr>
      <w:rPr>
        <w:rFonts w:hint="default"/>
        <w:b w:val="0"/>
      </w:rPr>
    </w:lvl>
    <w:lvl w:ilvl="1" w:tplc="04150017">
      <w:start w:val="1"/>
      <w:numFmt w:val="lowerLetter"/>
      <w:lvlText w:val="%2)"/>
      <w:lvlJc w:val="left"/>
      <w:pPr>
        <w:ind w:left="1713"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0A4ACE"/>
    <w:multiLevelType w:val="hybridMultilevel"/>
    <w:tmpl w:val="995AC208"/>
    <w:lvl w:ilvl="0" w:tplc="FFFFFFFF">
      <w:start w:val="1"/>
      <w:numFmt w:val="decimal"/>
      <w:lvlText w:val="%1."/>
      <w:lvlJc w:val="left"/>
      <w:pPr>
        <w:ind w:left="1353"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604477"/>
    <w:multiLevelType w:val="hybridMultilevel"/>
    <w:tmpl w:val="E180667C"/>
    <w:lvl w:ilvl="0" w:tplc="04150017">
      <w:start w:val="1"/>
      <w:numFmt w:val="lowerLetter"/>
      <w:lvlText w:val="%1)"/>
      <w:lvlJc w:val="left"/>
      <w:pPr>
        <w:ind w:left="1080" w:hanging="360"/>
      </w:pPr>
    </w:lvl>
    <w:lvl w:ilvl="1" w:tplc="04150011">
      <w:start w:val="1"/>
      <w:numFmt w:val="decimal"/>
      <w:lvlText w:val="%2)"/>
      <w:lvlJc w:val="left"/>
      <w:pPr>
        <w:ind w:left="108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127187707">
    <w:abstractNumId w:val="12"/>
  </w:num>
  <w:num w:numId="2" w16cid:durableId="52392076">
    <w:abstractNumId w:val="15"/>
  </w:num>
  <w:num w:numId="3" w16cid:durableId="598175058">
    <w:abstractNumId w:val="5"/>
  </w:num>
  <w:num w:numId="4" w16cid:durableId="288556295">
    <w:abstractNumId w:val="14"/>
  </w:num>
  <w:num w:numId="5" w16cid:durableId="1154099660">
    <w:abstractNumId w:val="19"/>
  </w:num>
  <w:num w:numId="6" w16cid:durableId="956183083">
    <w:abstractNumId w:val="31"/>
  </w:num>
  <w:num w:numId="7" w16cid:durableId="1626042110">
    <w:abstractNumId w:val="22"/>
  </w:num>
  <w:num w:numId="8" w16cid:durableId="96798048">
    <w:abstractNumId w:val="20"/>
  </w:num>
  <w:num w:numId="9" w16cid:durableId="1680959295">
    <w:abstractNumId w:val="18"/>
  </w:num>
  <w:num w:numId="10" w16cid:durableId="343826380">
    <w:abstractNumId w:val="42"/>
  </w:num>
  <w:num w:numId="11" w16cid:durableId="1525173032">
    <w:abstractNumId w:val="34"/>
  </w:num>
  <w:num w:numId="12" w16cid:durableId="1064448603">
    <w:abstractNumId w:val="38"/>
  </w:num>
  <w:num w:numId="13" w16cid:durableId="1821382631">
    <w:abstractNumId w:val="10"/>
  </w:num>
  <w:num w:numId="14" w16cid:durableId="2083865409">
    <w:abstractNumId w:val="24"/>
  </w:num>
  <w:num w:numId="15" w16cid:durableId="327943930">
    <w:abstractNumId w:val="37"/>
  </w:num>
  <w:num w:numId="16" w16cid:durableId="2044094751">
    <w:abstractNumId w:val="36"/>
  </w:num>
  <w:num w:numId="17" w16cid:durableId="1735664191">
    <w:abstractNumId w:val="32"/>
  </w:num>
  <w:num w:numId="18" w16cid:durableId="1712874232">
    <w:abstractNumId w:val="16"/>
  </w:num>
  <w:num w:numId="19" w16cid:durableId="1349402989">
    <w:abstractNumId w:val="8"/>
  </w:num>
  <w:num w:numId="20" w16cid:durableId="506484517">
    <w:abstractNumId w:val="11"/>
  </w:num>
  <w:num w:numId="21" w16cid:durableId="2062705567">
    <w:abstractNumId w:val="25"/>
  </w:num>
  <w:num w:numId="22" w16cid:durableId="789662285">
    <w:abstractNumId w:val="39"/>
  </w:num>
  <w:num w:numId="23" w16cid:durableId="781926304">
    <w:abstractNumId w:val="35"/>
  </w:num>
  <w:num w:numId="24" w16cid:durableId="798912366">
    <w:abstractNumId w:val="26"/>
  </w:num>
  <w:num w:numId="25" w16cid:durableId="607658477">
    <w:abstractNumId w:val="6"/>
  </w:num>
  <w:num w:numId="26" w16cid:durableId="88701860">
    <w:abstractNumId w:val="40"/>
  </w:num>
  <w:num w:numId="27" w16cid:durableId="939144309">
    <w:abstractNumId w:val="30"/>
  </w:num>
  <w:num w:numId="28" w16cid:durableId="897402544">
    <w:abstractNumId w:val="27"/>
  </w:num>
  <w:num w:numId="29" w16cid:durableId="593325881">
    <w:abstractNumId w:val="21"/>
  </w:num>
  <w:num w:numId="30" w16cid:durableId="78136158">
    <w:abstractNumId w:val="28"/>
  </w:num>
  <w:num w:numId="31" w16cid:durableId="82458554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92073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5809919">
    <w:abstractNumId w:val="41"/>
  </w:num>
  <w:num w:numId="34" w16cid:durableId="1332097240">
    <w:abstractNumId w:val="17"/>
  </w:num>
  <w:num w:numId="35" w16cid:durableId="1552573804">
    <w:abstractNumId w:val="0"/>
  </w:num>
  <w:num w:numId="36" w16cid:durableId="173037151">
    <w:abstractNumId w:val="1"/>
  </w:num>
  <w:num w:numId="37" w16cid:durableId="31851660">
    <w:abstractNumId w:val="7"/>
  </w:num>
  <w:num w:numId="38" w16cid:durableId="599990324">
    <w:abstractNumId w:val="3"/>
  </w:num>
  <w:num w:numId="39" w16cid:durableId="899560119">
    <w:abstractNumId w:val="2"/>
  </w:num>
  <w:num w:numId="40" w16cid:durableId="456681968">
    <w:abstractNumId w:val="29"/>
  </w:num>
  <w:num w:numId="41" w16cid:durableId="1628899882">
    <w:abstractNumId w:val="13"/>
  </w:num>
  <w:num w:numId="42" w16cid:durableId="346754216">
    <w:abstractNumId w:val="4"/>
  </w:num>
  <w:num w:numId="43" w16cid:durableId="1930236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77878761">
    <w:abstractNumId w:val="9"/>
  </w:num>
  <w:num w:numId="45" w16cid:durableId="1162702140">
    <w:abstractNumId w:val="23"/>
  </w:num>
  <w:num w:numId="46" w16cid:durableId="339504266">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476"/>
    <w:rsid w:val="00002716"/>
    <w:rsid w:val="00002C11"/>
    <w:rsid w:val="000030C5"/>
    <w:rsid w:val="000033B0"/>
    <w:rsid w:val="00003877"/>
    <w:rsid w:val="000039CC"/>
    <w:rsid w:val="00003DEB"/>
    <w:rsid w:val="00004427"/>
    <w:rsid w:val="00004578"/>
    <w:rsid w:val="00004B4B"/>
    <w:rsid w:val="00004BAA"/>
    <w:rsid w:val="0000518B"/>
    <w:rsid w:val="000072D0"/>
    <w:rsid w:val="000077CC"/>
    <w:rsid w:val="00010873"/>
    <w:rsid w:val="00010BC2"/>
    <w:rsid w:val="00010E3B"/>
    <w:rsid w:val="00011743"/>
    <w:rsid w:val="000126F8"/>
    <w:rsid w:val="00012AB3"/>
    <w:rsid w:val="00013256"/>
    <w:rsid w:val="000136F8"/>
    <w:rsid w:val="00013CA6"/>
    <w:rsid w:val="00013F4E"/>
    <w:rsid w:val="00014234"/>
    <w:rsid w:val="0001456D"/>
    <w:rsid w:val="000156F7"/>
    <w:rsid w:val="00020E82"/>
    <w:rsid w:val="00020FD4"/>
    <w:rsid w:val="00021533"/>
    <w:rsid w:val="000226AB"/>
    <w:rsid w:val="000226FF"/>
    <w:rsid w:val="000228E3"/>
    <w:rsid w:val="00022FD8"/>
    <w:rsid w:val="00023C6C"/>
    <w:rsid w:val="00026B79"/>
    <w:rsid w:val="00026E31"/>
    <w:rsid w:val="00026F6E"/>
    <w:rsid w:val="00027378"/>
    <w:rsid w:val="000273F9"/>
    <w:rsid w:val="00030D2F"/>
    <w:rsid w:val="00030D77"/>
    <w:rsid w:val="00031A06"/>
    <w:rsid w:val="000323EC"/>
    <w:rsid w:val="00035480"/>
    <w:rsid w:val="00035F36"/>
    <w:rsid w:val="00036368"/>
    <w:rsid w:val="000421CA"/>
    <w:rsid w:val="00043060"/>
    <w:rsid w:val="000441DA"/>
    <w:rsid w:val="00044468"/>
    <w:rsid w:val="00044B0B"/>
    <w:rsid w:val="0004501D"/>
    <w:rsid w:val="0004528D"/>
    <w:rsid w:val="000452EC"/>
    <w:rsid w:val="000479EB"/>
    <w:rsid w:val="000513C9"/>
    <w:rsid w:val="000517E0"/>
    <w:rsid w:val="00051E8B"/>
    <w:rsid w:val="00051F49"/>
    <w:rsid w:val="000524F9"/>
    <w:rsid w:val="00052D29"/>
    <w:rsid w:val="00052DD5"/>
    <w:rsid w:val="000536C3"/>
    <w:rsid w:val="000546F0"/>
    <w:rsid w:val="00054970"/>
    <w:rsid w:val="00055219"/>
    <w:rsid w:val="00055DCA"/>
    <w:rsid w:val="000563F8"/>
    <w:rsid w:val="0005757A"/>
    <w:rsid w:val="000575F4"/>
    <w:rsid w:val="000578F3"/>
    <w:rsid w:val="00060437"/>
    <w:rsid w:val="00061E7E"/>
    <w:rsid w:val="000660E1"/>
    <w:rsid w:val="000710BD"/>
    <w:rsid w:val="000719CA"/>
    <w:rsid w:val="00072D0F"/>
    <w:rsid w:val="00074BEF"/>
    <w:rsid w:val="0007713A"/>
    <w:rsid w:val="000771B3"/>
    <w:rsid w:val="000775A6"/>
    <w:rsid w:val="00077AC5"/>
    <w:rsid w:val="000806AC"/>
    <w:rsid w:val="00082290"/>
    <w:rsid w:val="00082B2B"/>
    <w:rsid w:val="000830D5"/>
    <w:rsid w:val="000838A4"/>
    <w:rsid w:val="00084F14"/>
    <w:rsid w:val="00085031"/>
    <w:rsid w:val="00085C7B"/>
    <w:rsid w:val="00085D5A"/>
    <w:rsid w:val="00086AAC"/>
    <w:rsid w:val="000902D9"/>
    <w:rsid w:val="0009038D"/>
    <w:rsid w:val="00092696"/>
    <w:rsid w:val="000930A6"/>
    <w:rsid w:val="00093297"/>
    <w:rsid w:val="00093D27"/>
    <w:rsid w:val="000943A0"/>
    <w:rsid w:val="000952A2"/>
    <w:rsid w:val="000968C7"/>
    <w:rsid w:val="00096F96"/>
    <w:rsid w:val="00097697"/>
    <w:rsid w:val="00097D21"/>
    <w:rsid w:val="000A14C0"/>
    <w:rsid w:val="000A19FE"/>
    <w:rsid w:val="000A2923"/>
    <w:rsid w:val="000A32F2"/>
    <w:rsid w:val="000A40D7"/>
    <w:rsid w:val="000A507C"/>
    <w:rsid w:val="000A52A3"/>
    <w:rsid w:val="000A55A3"/>
    <w:rsid w:val="000A656C"/>
    <w:rsid w:val="000B0B13"/>
    <w:rsid w:val="000B0CEB"/>
    <w:rsid w:val="000B1EBD"/>
    <w:rsid w:val="000B2D34"/>
    <w:rsid w:val="000B30E5"/>
    <w:rsid w:val="000B395C"/>
    <w:rsid w:val="000B60CD"/>
    <w:rsid w:val="000B6674"/>
    <w:rsid w:val="000C1AEB"/>
    <w:rsid w:val="000C1D62"/>
    <w:rsid w:val="000C2266"/>
    <w:rsid w:val="000C2E56"/>
    <w:rsid w:val="000C3217"/>
    <w:rsid w:val="000C350C"/>
    <w:rsid w:val="000C399C"/>
    <w:rsid w:val="000C3F38"/>
    <w:rsid w:val="000C3FCB"/>
    <w:rsid w:val="000D0748"/>
    <w:rsid w:val="000D0F68"/>
    <w:rsid w:val="000D19F2"/>
    <w:rsid w:val="000D32EE"/>
    <w:rsid w:val="000D3E81"/>
    <w:rsid w:val="000D70A3"/>
    <w:rsid w:val="000E0C8E"/>
    <w:rsid w:val="000E1000"/>
    <w:rsid w:val="000E11F1"/>
    <w:rsid w:val="000E2119"/>
    <w:rsid w:val="000E2F80"/>
    <w:rsid w:val="000E46D0"/>
    <w:rsid w:val="000E50F2"/>
    <w:rsid w:val="000E727D"/>
    <w:rsid w:val="000E777D"/>
    <w:rsid w:val="000F02C1"/>
    <w:rsid w:val="000F0DB5"/>
    <w:rsid w:val="000F0FE3"/>
    <w:rsid w:val="000F1DC2"/>
    <w:rsid w:val="000F27BA"/>
    <w:rsid w:val="000F2879"/>
    <w:rsid w:val="000F295C"/>
    <w:rsid w:val="000F32BD"/>
    <w:rsid w:val="000F344F"/>
    <w:rsid w:val="000F4780"/>
    <w:rsid w:val="000F4C74"/>
    <w:rsid w:val="000F4D2D"/>
    <w:rsid w:val="000F7BB7"/>
    <w:rsid w:val="00102E5E"/>
    <w:rsid w:val="00103A2B"/>
    <w:rsid w:val="00104368"/>
    <w:rsid w:val="00104E9D"/>
    <w:rsid w:val="00105B54"/>
    <w:rsid w:val="00106A33"/>
    <w:rsid w:val="00106EE6"/>
    <w:rsid w:val="001075B6"/>
    <w:rsid w:val="0011021A"/>
    <w:rsid w:val="001104E2"/>
    <w:rsid w:val="001111AC"/>
    <w:rsid w:val="0011161E"/>
    <w:rsid w:val="00111B6A"/>
    <w:rsid w:val="00112990"/>
    <w:rsid w:val="00113E92"/>
    <w:rsid w:val="00114D43"/>
    <w:rsid w:val="00114FDE"/>
    <w:rsid w:val="00115420"/>
    <w:rsid w:val="0011565D"/>
    <w:rsid w:val="00115EEB"/>
    <w:rsid w:val="0011644D"/>
    <w:rsid w:val="00121464"/>
    <w:rsid w:val="00121F2F"/>
    <w:rsid w:val="0012200A"/>
    <w:rsid w:val="0012253A"/>
    <w:rsid w:val="00122920"/>
    <w:rsid w:val="0012340D"/>
    <w:rsid w:val="0012384E"/>
    <w:rsid w:val="001265AA"/>
    <w:rsid w:val="001267B6"/>
    <w:rsid w:val="00126E41"/>
    <w:rsid w:val="00127D3A"/>
    <w:rsid w:val="00130E21"/>
    <w:rsid w:val="00130F4F"/>
    <w:rsid w:val="0013162B"/>
    <w:rsid w:val="0013188B"/>
    <w:rsid w:val="001327AA"/>
    <w:rsid w:val="001327DB"/>
    <w:rsid w:val="00134001"/>
    <w:rsid w:val="00134872"/>
    <w:rsid w:val="0013531F"/>
    <w:rsid w:val="0013551A"/>
    <w:rsid w:val="0013600A"/>
    <w:rsid w:val="00136F47"/>
    <w:rsid w:val="001403E0"/>
    <w:rsid w:val="00143B24"/>
    <w:rsid w:val="0014444E"/>
    <w:rsid w:val="0014482E"/>
    <w:rsid w:val="001458FD"/>
    <w:rsid w:val="00146221"/>
    <w:rsid w:val="00146510"/>
    <w:rsid w:val="001465A3"/>
    <w:rsid w:val="00147AAF"/>
    <w:rsid w:val="00154ACF"/>
    <w:rsid w:val="0015513E"/>
    <w:rsid w:val="001564A5"/>
    <w:rsid w:val="00156913"/>
    <w:rsid w:val="001570AC"/>
    <w:rsid w:val="0015758E"/>
    <w:rsid w:val="001611BE"/>
    <w:rsid w:val="00161757"/>
    <w:rsid w:val="00161C30"/>
    <w:rsid w:val="00161CA5"/>
    <w:rsid w:val="00162537"/>
    <w:rsid w:val="00163152"/>
    <w:rsid w:val="0016599A"/>
    <w:rsid w:val="00165AAB"/>
    <w:rsid w:val="00165E65"/>
    <w:rsid w:val="00166BB0"/>
    <w:rsid w:val="00166C13"/>
    <w:rsid w:val="00167B04"/>
    <w:rsid w:val="00167E2F"/>
    <w:rsid w:val="00167F0A"/>
    <w:rsid w:val="00170330"/>
    <w:rsid w:val="00170E09"/>
    <w:rsid w:val="00172E83"/>
    <w:rsid w:val="00172F75"/>
    <w:rsid w:val="001732EA"/>
    <w:rsid w:val="00173CB5"/>
    <w:rsid w:val="00174500"/>
    <w:rsid w:val="0017503B"/>
    <w:rsid w:val="00177C52"/>
    <w:rsid w:val="00180682"/>
    <w:rsid w:val="00185AB9"/>
    <w:rsid w:val="001876D2"/>
    <w:rsid w:val="0018786E"/>
    <w:rsid w:val="00187CE6"/>
    <w:rsid w:val="0019015E"/>
    <w:rsid w:val="00191C90"/>
    <w:rsid w:val="00192612"/>
    <w:rsid w:val="00192BAC"/>
    <w:rsid w:val="00192DD1"/>
    <w:rsid w:val="00192DDE"/>
    <w:rsid w:val="00195FFC"/>
    <w:rsid w:val="001961B6"/>
    <w:rsid w:val="0019659C"/>
    <w:rsid w:val="00196D68"/>
    <w:rsid w:val="001A127E"/>
    <w:rsid w:val="001A2567"/>
    <w:rsid w:val="001A2A5C"/>
    <w:rsid w:val="001A4E04"/>
    <w:rsid w:val="001A70B8"/>
    <w:rsid w:val="001B0FAC"/>
    <w:rsid w:val="001B152A"/>
    <w:rsid w:val="001B1EA4"/>
    <w:rsid w:val="001B2A5E"/>
    <w:rsid w:val="001B440A"/>
    <w:rsid w:val="001B49B1"/>
    <w:rsid w:val="001B61BC"/>
    <w:rsid w:val="001B6ABD"/>
    <w:rsid w:val="001B725A"/>
    <w:rsid w:val="001B7DC9"/>
    <w:rsid w:val="001B7EA5"/>
    <w:rsid w:val="001C15E1"/>
    <w:rsid w:val="001C20EE"/>
    <w:rsid w:val="001C26C2"/>
    <w:rsid w:val="001C3349"/>
    <w:rsid w:val="001C4199"/>
    <w:rsid w:val="001C4B06"/>
    <w:rsid w:val="001C5DAD"/>
    <w:rsid w:val="001C71D6"/>
    <w:rsid w:val="001D1626"/>
    <w:rsid w:val="001D1C13"/>
    <w:rsid w:val="001D233E"/>
    <w:rsid w:val="001D258D"/>
    <w:rsid w:val="001D2B35"/>
    <w:rsid w:val="001D331B"/>
    <w:rsid w:val="001D353E"/>
    <w:rsid w:val="001D3F8A"/>
    <w:rsid w:val="001D4E82"/>
    <w:rsid w:val="001D5417"/>
    <w:rsid w:val="001D7381"/>
    <w:rsid w:val="001E1B95"/>
    <w:rsid w:val="001E1D26"/>
    <w:rsid w:val="001E36E1"/>
    <w:rsid w:val="001E5DC5"/>
    <w:rsid w:val="001E62CC"/>
    <w:rsid w:val="001F0850"/>
    <w:rsid w:val="001F0C05"/>
    <w:rsid w:val="001F142C"/>
    <w:rsid w:val="001F211C"/>
    <w:rsid w:val="001F2491"/>
    <w:rsid w:val="001F2731"/>
    <w:rsid w:val="001F2A26"/>
    <w:rsid w:val="001F37F7"/>
    <w:rsid w:val="001F4363"/>
    <w:rsid w:val="001F499D"/>
    <w:rsid w:val="001F5288"/>
    <w:rsid w:val="001F53ED"/>
    <w:rsid w:val="001F5624"/>
    <w:rsid w:val="001F5838"/>
    <w:rsid w:val="001F7A84"/>
    <w:rsid w:val="00200059"/>
    <w:rsid w:val="00200463"/>
    <w:rsid w:val="002025FD"/>
    <w:rsid w:val="002036A4"/>
    <w:rsid w:val="0020414E"/>
    <w:rsid w:val="00204E20"/>
    <w:rsid w:val="002075F8"/>
    <w:rsid w:val="00207BDB"/>
    <w:rsid w:val="00210237"/>
    <w:rsid w:val="00211D31"/>
    <w:rsid w:val="00212F20"/>
    <w:rsid w:val="002137D2"/>
    <w:rsid w:val="002138FE"/>
    <w:rsid w:val="00215A4A"/>
    <w:rsid w:val="00216CDB"/>
    <w:rsid w:val="00217882"/>
    <w:rsid w:val="00217BD1"/>
    <w:rsid w:val="00217FE7"/>
    <w:rsid w:val="0022098B"/>
    <w:rsid w:val="00220E6E"/>
    <w:rsid w:val="002213D4"/>
    <w:rsid w:val="00222FCC"/>
    <w:rsid w:val="00223846"/>
    <w:rsid w:val="002255D2"/>
    <w:rsid w:val="00230677"/>
    <w:rsid w:val="00230836"/>
    <w:rsid w:val="0023129D"/>
    <w:rsid w:val="00232644"/>
    <w:rsid w:val="002341C7"/>
    <w:rsid w:val="002346C3"/>
    <w:rsid w:val="00235459"/>
    <w:rsid w:val="002356F2"/>
    <w:rsid w:val="00237A9D"/>
    <w:rsid w:val="00237DCA"/>
    <w:rsid w:val="00237F1A"/>
    <w:rsid w:val="0024156E"/>
    <w:rsid w:val="00242E79"/>
    <w:rsid w:val="00242F90"/>
    <w:rsid w:val="00243BEF"/>
    <w:rsid w:val="002447AC"/>
    <w:rsid w:val="00244950"/>
    <w:rsid w:val="0024642B"/>
    <w:rsid w:val="00247E13"/>
    <w:rsid w:val="002511F5"/>
    <w:rsid w:val="0025465A"/>
    <w:rsid w:val="0025568F"/>
    <w:rsid w:val="0025581F"/>
    <w:rsid w:val="0025584C"/>
    <w:rsid w:val="00255BA9"/>
    <w:rsid w:val="00257186"/>
    <w:rsid w:val="0025748C"/>
    <w:rsid w:val="0026008C"/>
    <w:rsid w:val="002612FF"/>
    <w:rsid w:val="00263569"/>
    <w:rsid w:val="00264310"/>
    <w:rsid w:val="00264AC4"/>
    <w:rsid w:val="00265DDA"/>
    <w:rsid w:val="00265E3C"/>
    <w:rsid w:val="00266758"/>
    <w:rsid w:val="0026712B"/>
    <w:rsid w:val="002701E8"/>
    <w:rsid w:val="00270BF4"/>
    <w:rsid w:val="00271FEF"/>
    <w:rsid w:val="0027226A"/>
    <w:rsid w:val="00272377"/>
    <w:rsid w:val="00274ED6"/>
    <w:rsid w:val="00276422"/>
    <w:rsid w:val="00276CAF"/>
    <w:rsid w:val="00277137"/>
    <w:rsid w:val="002771E9"/>
    <w:rsid w:val="0028013F"/>
    <w:rsid w:val="002808FF"/>
    <w:rsid w:val="00280B0A"/>
    <w:rsid w:val="00282514"/>
    <w:rsid w:val="0028442F"/>
    <w:rsid w:val="002844AD"/>
    <w:rsid w:val="002845CA"/>
    <w:rsid w:val="0028528D"/>
    <w:rsid w:val="00286415"/>
    <w:rsid w:val="00286819"/>
    <w:rsid w:val="00286959"/>
    <w:rsid w:val="00286D53"/>
    <w:rsid w:val="00286EAC"/>
    <w:rsid w:val="0028795D"/>
    <w:rsid w:val="00287C19"/>
    <w:rsid w:val="00291E8D"/>
    <w:rsid w:val="00291F60"/>
    <w:rsid w:val="00292272"/>
    <w:rsid w:val="00293159"/>
    <w:rsid w:val="00294355"/>
    <w:rsid w:val="00295365"/>
    <w:rsid w:val="00295700"/>
    <w:rsid w:val="00295991"/>
    <w:rsid w:val="0029662E"/>
    <w:rsid w:val="00297FB4"/>
    <w:rsid w:val="002A0C7D"/>
    <w:rsid w:val="002A3229"/>
    <w:rsid w:val="002A3731"/>
    <w:rsid w:val="002A3AC7"/>
    <w:rsid w:val="002A3ACC"/>
    <w:rsid w:val="002A4672"/>
    <w:rsid w:val="002A4ECE"/>
    <w:rsid w:val="002A4EF0"/>
    <w:rsid w:val="002A5610"/>
    <w:rsid w:val="002A5706"/>
    <w:rsid w:val="002A61E1"/>
    <w:rsid w:val="002A65EA"/>
    <w:rsid w:val="002A7AD7"/>
    <w:rsid w:val="002A7FFE"/>
    <w:rsid w:val="002B11C1"/>
    <w:rsid w:val="002B28F5"/>
    <w:rsid w:val="002B3683"/>
    <w:rsid w:val="002B51D2"/>
    <w:rsid w:val="002B66BF"/>
    <w:rsid w:val="002B6A7C"/>
    <w:rsid w:val="002C3442"/>
    <w:rsid w:val="002C3F77"/>
    <w:rsid w:val="002C50AC"/>
    <w:rsid w:val="002C5986"/>
    <w:rsid w:val="002C5EEF"/>
    <w:rsid w:val="002C733F"/>
    <w:rsid w:val="002C74E6"/>
    <w:rsid w:val="002D0CC0"/>
    <w:rsid w:val="002D1103"/>
    <w:rsid w:val="002D117C"/>
    <w:rsid w:val="002D1191"/>
    <w:rsid w:val="002D11B2"/>
    <w:rsid w:val="002D1C48"/>
    <w:rsid w:val="002D21ED"/>
    <w:rsid w:val="002D3E0D"/>
    <w:rsid w:val="002D71A9"/>
    <w:rsid w:val="002E04E6"/>
    <w:rsid w:val="002E0530"/>
    <w:rsid w:val="002E0664"/>
    <w:rsid w:val="002E0956"/>
    <w:rsid w:val="002E0F33"/>
    <w:rsid w:val="002E1A39"/>
    <w:rsid w:val="002E27A2"/>
    <w:rsid w:val="002E33CC"/>
    <w:rsid w:val="002E35B8"/>
    <w:rsid w:val="002E3DBE"/>
    <w:rsid w:val="002E552F"/>
    <w:rsid w:val="002F03F4"/>
    <w:rsid w:val="002F0D52"/>
    <w:rsid w:val="002F0F55"/>
    <w:rsid w:val="002F1AA4"/>
    <w:rsid w:val="002F1DDF"/>
    <w:rsid w:val="002F2365"/>
    <w:rsid w:val="002F2525"/>
    <w:rsid w:val="002F35B7"/>
    <w:rsid w:val="002F41A3"/>
    <w:rsid w:val="002F7EAB"/>
    <w:rsid w:val="00300470"/>
    <w:rsid w:val="0030415C"/>
    <w:rsid w:val="00305C48"/>
    <w:rsid w:val="00305EB3"/>
    <w:rsid w:val="00305F58"/>
    <w:rsid w:val="00306666"/>
    <w:rsid w:val="003068E4"/>
    <w:rsid w:val="00306932"/>
    <w:rsid w:val="00306DAB"/>
    <w:rsid w:val="0030757D"/>
    <w:rsid w:val="0030764B"/>
    <w:rsid w:val="003077F0"/>
    <w:rsid w:val="00310151"/>
    <w:rsid w:val="00311166"/>
    <w:rsid w:val="0031175E"/>
    <w:rsid w:val="00311B09"/>
    <w:rsid w:val="00311B84"/>
    <w:rsid w:val="00312614"/>
    <w:rsid w:val="0031356C"/>
    <w:rsid w:val="0031404F"/>
    <w:rsid w:val="003152BA"/>
    <w:rsid w:val="003156FE"/>
    <w:rsid w:val="0031615E"/>
    <w:rsid w:val="0031668C"/>
    <w:rsid w:val="00316AC3"/>
    <w:rsid w:val="003172B2"/>
    <w:rsid w:val="00320624"/>
    <w:rsid w:val="00321EA9"/>
    <w:rsid w:val="00325366"/>
    <w:rsid w:val="00325F92"/>
    <w:rsid w:val="00326CE3"/>
    <w:rsid w:val="00327457"/>
    <w:rsid w:val="00331B30"/>
    <w:rsid w:val="00332559"/>
    <w:rsid w:val="00333542"/>
    <w:rsid w:val="00333757"/>
    <w:rsid w:val="003369D7"/>
    <w:rsid w:val="0033701B"/>
    <w:rsid w:val="00337B7D"/>
    <w:rsid w:val="003408A3"/>
    <w:rsid w:val="00341148"/>
    <w:rsid w:val="0034133A"/>
    <w:rsid w:val="003419FE"/>
    <w:rsid w:val="00342319"/>
    <w:rsid w:val="00344C2E"/>
    <w:rsid w:val="00347780"/>
    <w:rsid w:val="003503E6"/>
    <w:rsid w:val="003505BD"/>
    <w:rsid w:val="00350779"/>
    <w:rsid w:val="00351209"/>
    <w:rsid w:val="00351687"/>
    <w:rsid w:val="00351D28"/>
    <w:rsid w:val="00353863"/>
    <w:rsid w:val="003554EB"/>
    <w:rsid w:val="003562D8"/>
    <w:rsid w:val="003614E0"/>
    <w:rsid w:val="00363C82"/>
    <w:rsid w:val="00363D1E"/>
    <w:rsid w:val="00364012"/>
    <w:rsid w:val="00366631"/>
    <w:rsid w:val="00366DC7"/>
    <w:rsid w:val="00367870"/>
    <w:rsid w:val="00367DE2"/>
    <w:rsid w:val="003702DB"/>
    <w:rsid w:val="0037035F"/>
    <w:rsid w:val="0037100D"/>
    <w:rsid w:val="00371D27"/>
    <w:rsid w:val="00372D54"/>
    <w:rsid w:val="00374396"/>
    <w:rsid w:val="00375439"/>
    <w:rsid w:val="00377104"/>
    <w:rsid w:val="003812EA"/>
    <w:rsid w:val="003812EC"/>
    <w:rsid w:val="003837CF"/>
    <w:rsid w:val="00384007"/>
    <w:rsid w:val="00384811"/>
    <w:rsid w:val="00384DFE"/>
    <w:rsid w:val="00385819"/>
    <w:rsid w:val="003864F6"/>
    <w:rsid w:val="0038719C"/>
    <w:rsid w:val="0038730C"/>
    <w:rsid w:val="003874B4"/>
    <w:rsid w:val="0038795D"/>
    <w:rsid w:val="00387C68"/>
    <w:rsid w:val="0039020E"/>
    <w:rsid w:val="00390C6C"/>
    <w:rsid w:val="00391456"/>
    <w:rsid w:val="0039229E"/>
    <w:rsid w:val="00393A90"/>
    <w:rsid w:val="00394558"/>
    <w:rsid w:val="003952F0"/>
    <w:rsid w:val="00395677"/>
    <w:rsid w:val="00396988"/>
    <w:rsid w:val="003976F1"/>
    <w:rsid w:val="003A1510"/>
    <w:rsid w:val="003A186F"/>
    <w:rsid w:val="003A2C53"/>
    <w:rsid w:val="003A4780"/>
    <w:rsid w:val="003A5384"/>
    <w:rsid w:val="003A6827"/>
    <w:rsid w:val="003A6A16"/>
    <w:rsid w:val="003A6C1E"/>
    <w:rsid w:val="003A6EEF"/>
    <w:rsid w:val="003B19D2"/>
    <w:rsid w:val="003B3CEE"/>
    <w:rsid w:val="003B4BA9"/>
    <w:rsid w:val="003B5AA6"/>
    <w:rsid w:val="003B609B"/>
    <w:rsid w:val="003C14C7"/>
    <w:rsid w:val="003C1B34"/>
    <w:rsid w:val="003C2446"/>
    <w:rsid w:val="003C32D1"/>
    <w:rsid w:val="003C3484"/>
    <w:rsid w:val="003C4BEB"/>
    <w:rsid w:val="003C581C"/>
    <w:rsid w:val="003C5D10"/>
    <w:rsid w:val="003C7874"/>
    <w:rsid w:val="003C7F80"/>
    <w:rsid w:val="003D1574"/>
    <w:rsid w:val="003D16CC"/>
    <w:rsid w:val="003D3F38"/>
    <w:rsid w:val="003D4424"/>
    <w:rsid w:val="003D48A9"/>
    <w:rsid w:val="003D4C5A"/>
    <w:rsid w:val="003D57F0"/>
    <w:rsid w:val="003D6269"/>
    <w:rsid w:val="003D7394"/>
    <w:rsid w:val="003D779C"/>
    <w:rsid w:val="003E0439"/>
    <w:rsid w:val="003E148F"/>
    <w:rsid w:val="003E18F6"/>
    <w:rsid w:val="003E1959"/>
    <w:rsid w:val="003E3299"/>
    <w:rsid w:val="003E4EB8"/>
    <w:rsid w:val="003E789C"/>
    <w:rsid w:val="003F06BC"/>
    <w:rsid w:val="003F0BF1"/>
    <w:rsid w:val="003F1B5D"/>
    <w:rsid w:val="003F2657"/>
    <w:rsid w:val="003F2A2A"/>
    <w:rsid w:val="003F3A1E"/>
    <w:rsid w:val="003F3A5A"/>
    <w:rsid w:val="003F5724"/>
    <w:rsid w:val="003F5E54"/>
    <w:rsid w:val="003F5FC4"/>
    <w:rsid w:val="003F659A"/>
    <w:rsid w:val="003F6996"/>
    <w:rsid w:val="003F6DBA"/>
    <w:rsid w:val="003F7856"/>
    <w:rsid w:val="00400591"/>
    <w:rsid w:val="00400666"/>
    <w:rsid w:val="00400805"/>
    <w:rsid w:val="00400F0A"/>
    <w:rsid w:val="00401461"/>
    <w:rsid w:val="00401B9C"/>
    <w:rsid w:val="00402411"/>
    <w:rsid w:val="004040CC"/>
    <w:rsid w:val="00404D37"/>
    <w:rsid w:val="00404DAD"/>
    <w:rsid w:val="00410A31"/>
    <w:rsid w:val="00411707"/>
    <w:rsid w:val="00411CE1"/>
    <w:rsid w:val="00412333"/>
    <w:rsid w:val="0041286D"/>
    <w:rsid w:val="00413117"/>
    <w:rsid w:val="00413BDB"/>
    <w:rsid w:val="00414683"/>
    <w:rsid w:val="0041639B"/>
    <w:rsid w:val="00417BC4"/>
    <w:rsid w:val="00420553"/>
    <w:rsid w:val="004209E3"/>
    <w:rsid w:val="004217A7"/>
    <w:rsid w:val="00422796"/>
    <w:rsid w:val="00422E13"/>
    <w:rsid w:val="00423584"/>
    <w:rsid w:val="004236EC"/>
    <w:rsid w:val="0042641F"/>
    <w:rsid w:val="0042698F"/>
    <w:rsid w:val="00427DC6"/>
    <w:rsid w:val="00430288"/>
    <w:rsid w:val="00430676"/>
    <w:rsid w:val="0043189E"/>
    <w:rsid w:val="00431C79"/>
    <w:rsid w:val="00431E32"/>
    <w:rsid w:val="00434A2A"/>
    <w:rsid w:val="00435608"/>
    <w:rsid w:val="004356BA"/>
    <w:rsid w:val="00436888"/>
    <w:rsid w:val="00441001"/>
    <w:rsid w:val="00441A43"/>
    <w:rsid w:val="00442315"/>
    <w:rsid w:val="004438E9"/>
    <w:rsid w:val="004438FE"/>
    <w:rsid w:val="00445D37"/>
    <w:rsid w:val="00445D82"/>
    <w:rsid w:val="00446341"/>
    <w:rsid w:val="00447A34"/>
    <w:rsid w:val="004501FA"/>
    <w:rsid w:val="00451794"/>
    <w:rsid w:val="00451A01"/>
    <w:rsid w:val="00452C7E"/>
    <w:rsid w:val="00452D63"/>
    <w:rsid w:val="00453261"/>
    <w:rsid w:val="00456543"/>
    <w:rsid w:val="00460770"/>
    <w:rsid w:val="00462C9B"/>
    <w:rsid w:val="00462E12"/>
    <w:rsid w:val="00463E19"/>
    <w:rsid w:val="00464B15"/>
    <w:rsid w:val="00465AF8"/>
    <w:rsid w:val="00465DD6"/>
    <w:rsid w:val="00466D6C"/>
    <w:rsid w:val="00467612"/>
    <w:rsid w:val="00470E46"/>
    <w:rsid w:val="004712A2"/>
    <w:rsid w:val="0047168C"/>
    <w:rsid w:val="00472AE2"/>
    <w:rsid w:val="00474436"/>
    <w:rsid w:val="0047507D"/>
    <w:rsid w:val="00477AC0"/>
    <w:rsid w:val="00480CFB"/>
    <w:rsid w:val="00481C9E"/>
    <w:rsid w:val="004823A4"/>
    <w:rsid w:val="00482BA7"/>
    <w:rsid w:val="00484575"/>
    <w:rsid w:val="00484812"/>
    <w:rsid w:val="00485BD5"/>
    <w:rsid w:val="004866B2"/>
    <w:rsid w:val="00486BD1"/>
    <w:rsid w:val="00486D5E"/>
    <w:rsid w:val="004906CC"/>
    <w:rsid w:val="00490BCB"/>
    <w:rsid w:val="00491545"/>
    <w:rsid w:val="0049265B"/>
    <w:rsid w:val="00492D2E"/>
    <w:rsid w:val="0049356B"/>
    <w:rsid w:val="00493ED5"/>
    <w:rsid w:val="00493F25"/>
    <w:rsid w:val="00494829"/>
    <w:rsid w:val="00494FE3"/>
    <w:rsid w:val="00495BEE"/>
    <w:rsid w:val="004971DD"/>
    <w:rsid w:val="004974F5"/>
    <w:rsid w:val="00497D40"/>
    <w:rsid w:val="004A1C6A"/>
    <w:rsid w:val="004A1C98"/>
    <w:rsid w:val="004A2851"/>
    <w:rsid w:val="004A2A4E"/>
    <w:rsid w:val="004A2F25"/>
    <w:rsid w:val="004A3DA4"/>
    <w:rsid w:val="004A6789"/>
    <w:rsid w:val="004B2307"/>
    <w:rsid w:val="004B337C"/>
    <w:rsid w:val="004B3B8D"/>
    <w:rsid w:val="004B46BA"/>
    <w:rsid w:val="004B5178"/>
    <w:rsid w:val="004B57A5"/>
    <w:rsid w:val="004B5FAE"/>
    <w:rsid w:val="004B64F1"/>
    <w:rsid w:val="004B6FAC"/>
    <w:rsid w:val="004B7B32"/>
    <w:rsid w:val="004B7C13"/>
    <w:rsid w:val="004C219E"/>
    <w:rsid w:val="004C294F"/>
    <w:rsid w:val="004C3922"/>
    <w:rsid w:val="004C4625"/>
    <w:rsid w:val="004C503E"/>
    <w:rsid w:val="004C5859"/>
    <w:rsid w:val="004C6971"/>
    <w:rsid w:val="004C7E6B"/>
    <w:rsid w:val="004D105C"/>
    <w:rsid w:val="004D111D"/>
    <w:rsid w:val="004D4157"/>
    <w:rsid w:val="004D49F6"/>
    <w:rsid w:val="004D5421"/>
    <w:rsid w:val="004D5563"/>
    <w:rsid w:val="004D5D31"/>
    <w:rsid w:val="004D6CDD"/>
    <w:rsid w:val="004D7430"/>
    <w:rsid w:val="004D751D"/>
    <w:rsid w:val="004E1450"/>
    <w:rsid w:val="004E3153"/>
    <w:rsid w:val="004E3816"/>
    <w:rsid w:val="004E40BA"/>
    <w:rsid w:val="004E4E56"/>
    <w:rsid w:val="004E52CD"/>
    <w:rsid w:val="004E5416"/>
    <w:rsid w:val="004E6BBD"/>
    <w:rsid w:val="004E71CA"/>
    <w:rsid w:val="004E7644"/>
    <w:rsid w:val="004F04B1"/>
    <w:rsid w:val="004F057A"/>
    <w:rsid w:val="004F1726"/>
    <w:rsid w:val="004F1DD7"/>
    <w:rsid w:val="004F3FD6"/>
    <w:rsid w:val="004F4478"/>
    <w:rsid w:val="004F59CC"/>
    <w:rsid w:val="004F6715"/>
    <w:rsid w:val="004F74F6"/>
    <w:rsid w:val="004F7FB9"/>
    <w:rsid w:val="0050096B"/>
    <w:rsid w:val="00500A9C"/>
    <w:rsid w:val="00500FA1"/>
    <w:rsid w:val="00501FD3"/>
    <w:rsid w:val="00502D70"/>
    <w:rsid w:val="00503E80"/>
    <w:rsid w:val="005040DD"/>
    <w:rsid w:val="005041F9"/>
    <w:rsid w:val="00504212"/>
    <w:rsid w:val="005042CE"/>
    <w:rsid w:val="00504B4E"/>
    <w:rsid w:val="00504D14"/>
    <w:rsid w:val="00504F52"/>
    <w:rsid w:val="005057EF"/>
    <w:rsid w:val="00505A6A"/>
    <w:rsid w:val="00505A7C"/>
    <w:rsid w:val="00506CFB"/>
    <w:rsid w:val="005078C3"/>
    <w:rsid w:val="0051110B"/>
    <w:rsid w:val="00513D1D"/>
    <w:rsid w:val="00514683"/>
    <w:rsid w:val="00514B54"/>
    <w:rsid w:val="00515E72"/>
    <w:rsid w:val="00520AE2"/>
    <w:rsid w:val="005245BC"/>
    <w:rsid w:val="00524F69"/>
    <w:rsid w:val="00525198"/>
    <w:rsid w:val="00527C0E"/>
    <w:rsid w:val="00531F8A"/>
    <w:rsid w:val="00532DE2"/>
    <w:rsid w:val="00532F17"/>
    <w:rsid w:val="00532FE4"/>
    <w:rsid w:val="00534F0B"/>
    <w:rsid w:val="005359CE"/>
    <w:rsid w:val="00535FCC"/>
    <w:rsid w:val="005370C6"/>
    <w:rsid w:val="00540155"/>
    <w:rsid w:val="00540426"/>
    <w:rsid w:val="00540E26"/>
    <w:rsid w:val="00542841"/>
    <w:rsid w:val="005443AF"/>
    <w:rsid w:val="005465BE"/>
    <w:rsid w:val="00546A74"/>
    <w:rsid w:val="0055197A"/>
    <w:rsid w:val="00551C05"/>
    <w:rsid w:val="00551F43"/>
    <w:rsid w:val="00552B4C"/>
    <w:rsid w:val="00555740"/>
    <w:rsid w:val="005558CA"/>
    <w:rsid w:val="00555AE0"/>
    <w:rsid w:val="005565E9"/>
    <w:rsid w:val="00556B13"/>
    <w:rsid w:val="00557000"/>
    <w:rsid w:val="00557BE7"/>
    <w:rsid w:val="00557F78"/>
    <w:rsid w:val="00560181"/>
    <w:rsid w:val="005601E6"/>
    <w:rsid w:val="00560B36"/>
    <w:rsid w:val="0056657C"/>
    <w:rsid w:val="00566DB0"/>
    <w:rsid w:val="005673D0"/>
    <w:rsid w:val="005701B2"/>
    <w:rsid w:val="00570D08"/>
    <w:rsid w:val="00570F16"/>
    <w:rsid w:val="005718FA"/>
    <w:rsid w:val="005719A4"/>
    <w:rsid w:val="005720F7"/>
    <w:rsid w:val="005730CF"/>
    <w:rsid w:val="005733C6"/>
    <w:rsid w:val="005736AE"/>
    <w:rsid w:val="0057393B"/>
    <w:rsid w:val="005751AF"/>
    <w:rsid w:val="00575DA3"/>
    <w:rsid w:val="005762B7"/>
    <w:rsid w:val="00576363"/>
    <w:rsid w:val="00577281"/>
    <w:rsid w:val="0057754A"/>
    <w:rsid w:val="00577D73"/>
    <w:rsid w:val="00580A00"/>
    <w:rsid w:val="005812EB"/>
    <w:rsid w:val="00583092"/>
    <w:rsid w:val="005830B9"/>
    <w:rsid w:val="00584219"/>
    <w:rsid w:val="0058555C"/>
    <w:rsid w:val="00587118"/>
    <w:rsid w:val="005871AB"/>
    <w:rsid w:val="00587207"/>
    <w:rsid w:val="005874A5"/>
    <w:rsid w:val="00587719"/>
    <w:rsid w:val="00587FB8"/>
    <w:rsid w:val="00590571"/>
    <w:rsid w:val="00592196"/>
    <w:rsid w:val="00594F51"/>
    <w:rsid w:val="00595BF1"/>
    <w:rsid w:val="00597E8D"/>
    <w:rsid w:val="005A0320"/>
    <w:rsid w:val="005A0E45"/>
    <w:rsid w:val="005A0F04"/>
    <w:rsid w:val="005A1D78"/>
    <w:rsid w:val="005A2419"/>
    <w:rsid w:val="005A3FB4"/>
    <w:rsid w:val="005A41DA"/>
    <w:rsid w:val="005A4AC9"/>
    <w:rsid w:val="005A50A0"/>
    <w:rsid w:val="005A73C9"/>
    <w:rsid w:val="005A7CC8"/>
    <w:rsid w:val="005B0AEF"/>
    <w:rsid w:val="005B1A89"/>
    <w:rsid w:val="005B3514"/>
    <w:rsid w:val="005B3EB3"/>
    <w:rsid w:val="005B5A6E"/>
    <w:rsid w:val="005B5E2C"/>
    <w:rsid w:val="005B5E8E"/>
    <w:rsid w:val="005B64D9"/>
    <w:rsid w:val="005B69E0"/>
    <w:rsid w:val="005B6FE4"/>
    <w:rsid w:val="005B737E"/>
    <w:rsid w:val="005B7778"/>
    <w:rsid w:val="005C057F"/>
    <w:rsid w:val="005C227D"/>
    <w:rsid w:val="005C25AC"/>
    <w:rsid w:val="005C3DD3"/>
    <w:rsid w:val="005C451C"/>
    <w:rsid w:val="005D1AA3"/>
    <w:rsid w:val="005D3915"/>
    <w:rsid w:val="005D39E5"/>
    <w:rsid w:val="005D3B7D"/>
    <w:rsid w:val="005D48ED"/>
    <w:rsid w:val="005D5034"/>
    <w:rsid w:val="005D524A"/>
    <w:rsid w:val="005E11F5"/>
    <w:rsid w:val="005E259A"/>
    <w:rsid w:val="005E2D46"/>
    <w:rsid w:val="005E3A0E"/>
    <w:rsid w:val="005E7723"/>
    <w:rsid w:val="005E7890"/>
    <w:rsid w:val="005E79B9"/>
    <w:rsid w:val="005F0927"/>
    <w:rsid w:val="005F15BD"/>
    <w:rsid w:val="005F16F4"/>
    <w:rsid w:val="005F29DC"/>
    <w:rsid w:val="005F2BA2"/>
    <w:rsid w:val="005F3634"/>
    <w:rsid w:val="005F389F"/>
    <w:rsid w:val="005F3EAE"/>
    <w:rsid w:val="005F4918"/>
    <w:rsid w:val="005F4AA7"/>
    <w:rsid w:val="005F5F25"/>
    <w:rsid w:val="005F67F5"/>
    <w:rsid w:val="005F757E"/>
    <w:rsid w:val="005F76BF"/>
    <w:rsid w:val="006000AE"/>
    <w:rsid w:val="00601FB9"/>
    <w:rsid w:val="00602461"/>
    <w:rsid w:val="00603E37"/>
    <w:rsid w:val="00604A44"/>
    <w:rsid w:val="0060557C"/>
    <w:rsid w:val="00605D03"/>
    <w:rsid w:val="00605D66"/>
    <w:rsid w:val="0060666A"/>
    <w:rsid w:val="00610139"/>
    <w:rsid w:val="00610BC7"/>
    <w:rsid w:val="00611D1D"/>
    <w:rsid w:val="00612DB6"/>
    <w:rsid w:val="00613B59"/>
    <w:rsid w:val="00613E90"/>
    <w:rsid w:val="00614CDD"/>
    <w:rsid w:val="006151E2"/>
    <w:rsid w:val="00616377"/>
    <w:rsid w:val="006206A1"/>
    <w:rsid w:val="006206E5"/>
    <w:rsid w:val="0062148A"/>
    <w:rsid w:val="006214D5"/>
    <w:rsid w:val="00621514"/>
    <w:rsid w:val="0062383F"/>
    <w:rsid w:val="00623E3E"/>
    <w:rsid w:val="00623EAB"/>
    <w:rsid w:val="00626044"/>
    <w:rsid w:val="00626307"/>
    <w:rsid w:val="0062635C"/>
    <w:rsid w:val="006265B3"/>
    <w:rsid w:val="00631193"/>
    <w:rsid w:val="00631265"/>
    <w:rsid w:val="00631BD1"/>
    <w:rsid w:val="0063202C"/>
    <w:rsid w:val="00632BF9"/>
    <w:rsid w:val="00633EE7"/>
    <w:rsid w:val="006344E6"/>
    <w:rsid w:val="0063498C"/>
    <w:rsid w:val="00634BB7"/>
    <w:rsid w:val="00634BCB"/>
    <w:rsid w:val="0063616F"/>
    <w:rsid w:val="006366F7"/>
    <w:rsid w:val="0063689C"/>
    <w:rsid w:val="00636B37"/>
    <w:rsid w:val="00637367"/>
    <w:rsid w:val="006373D8"/>
    <w:rsid w:val="0063753E"/>
    <w:rsid w:val="00640013"/>
    <w:rsid w:val="00640665"/>
    <w:rsid w:val="00641FED"/>
    <w:rsid w:val="00642894"/>
    <w:rsid w:val="00643AB7"/>
    <w:rsid w:val="00643C0E"/>
    <w:rsid w:val="006444F2"/>
    <w:rsid w:val="00644CFD"/>
    <w:rsid w:val="006507A9"/>
    <w:rsid w:val="00650AD3"/>
    <w:rsid w:val="00650BE8"/>
    <w:rsid w:val="00650D5F"/>
    <w:rsid w:val="00651192"/>
    <w:rsid w:val="006534E2"/>
    <w:rsid w:val="00653E64"/>
    <w:rsid w:val="00655C9F"/>
    <w:rsid w:val="00656433"/>
    <w:rsid w:val="00656D33"/>
    <w:rsid w:val="00657EEE"/>
    <w:rsid w:val="006606BD"/>
    <w:rsid w:val="00660D9B"/>
    <w:rsid w:val="006618CA"/>
    <w:rsid w:val="0066372D"/>
    <w:rsid w:val="00663BA8"/>
    <w:rsid w:val="0066717F"/>
    <w:rsid w:val="00667712"/>
    <w:rsid w:val="00667E43"/>
    <w:rsid w:val="00670763"/>
    <w:rsid w:val="00671C14"/>
    <w:rsid w:val="00672E84"/>
    <w:rsid w:val="0067303B"/>
    <w:rsid w:val="00673A42"/>
    <w:rsid w:val="006745AB"/>
    <w:rsid w:val="00674B79"/>
    <w:rsid w:val="00674FC4"/>
    <w:rsid w:val="00675EC4"/>
    <w:rsid w:val="006768B1"/>
    <w:rsid w:val="0067784B"/>
    <w:rsid w:val="00677F59"/>
    <w:rsid w:val="006803CC"/>
    <w:rsid w:val="0068375E"/>
    <w:rsid w:val="006839E1"/>
    <w:rsid w:val="00684527"/>
    <w:rsid w:val="006856FE"/>
    <w:rsid w:val="00686462"/>
    <w:rsid w:val="00687B32"/>
    <w:rsid w:val="0069162B"/>
    <w:rsid w:val="00691754"/>
    <w:rsid w:val="006917F5"/>
    <w:rsid w:val="00691C29"/>
    <w:rsid w:val="00692420"/>
    <w:rsid w:val="00692701"/>
    <w:rsid w:val="0069408B"/>
    <w:rsid w:val="00694166"/>
    <w:rsid w:val="006943B5"/>
    <w:rsid w:val="006951B2"/>
    <w:rsid w:val="0069523D"/>
    <w:rsid w:val="00695BFD"/>
    <w:rsid w:val="00695E5D"/>
    <w:rsid w:val="00695F4B"/>
    <w:rsid w:val="006A0E3F"/>
    <w:rsid w:val="006A10EA"/>
    <w:rsid w:val="006A23EF"/>
    <w:rsid w:val="006A3499"/>
    <w:rsid w:val="006A4583"/>
    <w:rsid w:val="006A50BE"/>
    <w:rsid w:val="006A566F"/>
    <w:rsid w:val="006A61BD"/>
    <w:rsid w:val="006A620E"/>
    <w:rsid w:val="006A7AE8"/>
    <w:rsid w:val="006B035D"/>
    <w:rsid w:val="006B199D"/>
    <w:rsid w:val="006B1A34"/>
    <w:rsid w:val="006B230D"/>
    <w:rsid w:val="006B23BE"/>
    <w:rsid w:val="006B2CB7"/>
    <w:rsid w:val="006B2CEF"/>
    <w:rsid w:val="006B4680"/>
    <w:rsid w:val="006B4EBC"/>
    <w:rsid w:val="006B533D"/>
    <w:rsid w:val="006B75B0"/>
    <w:rsid w:val="006B7A6D"/>
    <w:rsid w:val="006B7F73"/>
    <w:rsid w:val="006C08E8"/>
    <w:rsid w:val="006C24E1"/>
    <w:rsid w:val="006C2D30"/>
    <w:rsid w:val="006C4733"/>
    <w:rsid w:val="006C567B"/>
    <w:rsid w:val="006C69EF"/>
    <w:rsid w:val="006C7A63"/>
    <w:rsid w:val="006D1535"/>
    <w:rsid w:val="006D1781"/>
    <w:rsid w:val="006D1BB3"/>
    <w:rsid w:val="006D2687"/>
    <w:rsid w:val="006D3261"/>
    <w:rsid w:val="006D437B"/>
    <w:rsid w:val="006D446A"/>
    <w:rsid w:val="006D480A"/>
    <w:rsid w:val="006D4EA7"/>
    <w:rsid w:val="006D5C4B"/>
    <w:rsid w:val="006E06F2"/>
    <w:rsid w:val="006E24E9"/>
    <w:rsid w:val="006E277B"/>
    <w:rsid w:val="006E313B"/>
    <w:rsid w:val="006E39B9"/>
    <w:rsid w:val="006E3D31"/>
    <w:rsid w:val="006E4A6E"/>
    <w:rsid w:val="006E574E"/>
    <w:rsid w:val="006E640F"/>
    <w:rsid w:val="006E6E60"/>
    <w:rsid w:val="006E708E"/>
    <w:rsid w:val="006E736E"/>
    <w:rsid w:val="006E7C46"/>
    <w:rsid w:val="006F0193"/>
    <w:rsid w:val="006F115A"/>
    <w:rsid w:val="006F17CF"/>
    <w:rsid w:val="006F2A1A"/>
    <w:rsid w:val="006F2D5D"/>
    <w:rsid w:val="006F36A8"/>
    <w:rsid w:val="006F36AF"/>
    <w:rsid w:val="006F3934"/>
    <w:rsid w:val="006F4073"/>
    <w:rsid w:val="006F40FC"/>
    <w:rsid w:val="006F411A"/>
    <w:rsid w:val="006F4B53"/>
    <w:rsid w:val="006F50A2"/>
    <w:rsid w:val="006F60B3"/>
    <w:rsid w:val="006F64C7"/>
    <w:rsid w:val="006F7B8D"/>
    <w:rsid w:val="00700DAD"/>
    <w:rsid w:val="00702795"/>
    <w:rsid w:val="00702CF8"/>
    <w:rsid w:val="00704A6F"/>
    <w:rsid w:val="007058D7"/>
    <w:rsid w:val="00706E1C"/>
    <w:rsid w:val="007107E9"/>
    <w:rsid w:val="00712BC6"/>
    <w:rsid w:val="007133F1"/>
    <w:rsid w:val="00714570"/>
    <w:rsid w:val="0071479C"/>
    <w:rsid w:val="007147A0"/>
    <w:rsid w:val="00714B90"/>
    <w:rsid w:val="007153D4"/>
    <w:rsid w:val="00715EED"/>
    <w:rsid w:val="00716DC3"/>
    <w:rsid w:val="0071713B"/>
    <w:rsid w:val="00720281"/>
    <w:rsid w:val="00720802"/>
    <w:rsid w:val="007209DF"/>
    <w:rsid w:val="00723C65"/>
    <w:rsid w:val="00724BCA"/>
    <w:rsid w:val="00726F6E"/>
    <w:rsid w:val="007305C0"/>
    <w:rsid w:val="00730601"/>
    <w:rsid w:val="007308CC"/>
    <w:rsid w:val="00735175"/>
    <w:rsid w:val="00736A56"/>
    <w:rsid w:val="00737099"/>
    <w:rsid w:val="00737A19"/>
    <w:rsid w:val="007402F9"/>
    <w:rsid w:val="0074066A"/>
    <w:rsid w:val="00740BD9"/>
    <w:rsid w:val="007418CD"/>
    <w:rsid w:val="00741DCF"/>
    <w:rsid w:val="00742E25"/>
    <w:rsid w:val="007434C2"/>
    <w:rsid w:val="0074391D"/>
    <w:rsid w:val="00743FE7"/>
    <w:rsid w:val="007444A3"/>
    <w:rsid w:val="00744A05"/>
    <w:rsid w:val="007452D1"/>
    <w:rsid w:val="00745DA8"/>
    <w:rsid w:val="007465BE"/>
    <w:rsid w:val="007469EE"/>
    <w:rsid w:val="00750015"/>
    <w:rsid w:val="0075044C"/>
    <w:rsid w:val="007504B3"/>
    <w:rsid w:val="00751017"/>
    <w:rsid w:val="0075101F"/>
    <w:rsid w:val="00751F3B"/>
    <w:rsid w:val="00754832"/>
    <w:rsid w:val="00754C7C"/>
    <w:rsid w:val="00755021"/>
    <w:rsid w:val="0075611B"/>
    <w:rsid w:val="00756F12"/>
    <w:rsid w:val="007575A7"/>
    <w:rsid w:val="00757C24"/>
    <w:rsid w:val="00760805"/>
    <w:rsid w:val="007612DD"/>
    <w:rsid w:val="00763355"/>
    <w:rsid w:val="00763CAA"/>
    <w:rsid w:val="007645CF"/>
    <w:rsid w:val="007648C6"/>
    <w:rsid w:val="0076557D"/>
    <w:rsid w:val="00765F35"/>
    <w:rsid w:val="007669A1"/>
    <w:rsid w:val="0076705C"/>
    <w:rsid w:val="0076729A"/>
    <w:rsid w:val="007678C3"/>
    <w:rsid w:val="00771E83"/>
    <w:rsid w:val="007726C8"/>
    <w:rsid w:val="00772B88"/>
    <w:rsid w:val="00773F83"/>
    <w:rsid w:val="007763C1"/>
    <w:rsid w:val="0077667D"/>
    <w:rsid w:val="00776E8C"/>
    <w:rsid w:val="00777107"/>
    <w:rsid w:val="00777E38"/>
    <w:rsid w:val="007828A3"/>
    <w:rsid w:val="00783BBE"/>
    <w:rsid w:val="00783E8D"/>
    <w:rsid w:val="007841FC"/>
    <w:rsid w:val="00786961"/>
    <w:rsid w:val="00787024"/>
    <w:rsid w:val="00790B13"/>
    <w:rsid w:val="00790D09"/>
    <w:rsid w:val="0079191F"/>
    <w:rsid w:val="0079205A"/>
    <w:rsid w:val="00793B17"/>
    <w:rsid w:val="007948EF"/>
    <w:rsid w:val="007956BC"/>
    <w:rsid w:val="00795A23"/>
    <w:rsid w:val="00795DA9"/>
    <w:rsid w:val="00795F31"/>
    <w:rsid w:val="007967B3"/>
    <w:rsid w:val="00796C04"/>
    <w:rsid w:val="007972C6"/>
    <w:rsid w:val="007A042C"/>
    <w:rsid w:val="007A0B1F"/>
    <w:rsid w:val="007A1398"/>
    <w:rsid w:val="007A21DF"/>
    <w:rsid w:val="007A2CD5"/>
    <w:rsid w:val="007A3161"/>
    <w:rsid w:val="007A3B51"/>
    <w:rsid w:val="007A3B55"/>
    <w:rsid w:val="007A50D7"/>
    <w:rsid w:val="007A6855"/>
    <w:rsid w:val="007A6FC4"/>
    <w:rsid w:val="007A78A1"/>
    <w:rsid w:val="007A7CE7"/>
    <w:rsid w:val="007B0F78"/>
    <w:rsid w:val="007B18DF"/>
    <w:rsid w:val="007B2837"/>
    <w:rsid w:val="007B30F7"/>
    <w:rsid w:val="007B483F"/>
    <w:rsid w:val="007B5B95"/>
    <w:rsid w:val="007B70B0"/>
    <w:rsid w:val="007B7745"/>
    <w:rsid w:val="007B7928"/>
    <w:rsid w:val="007C0273"/>
    <w:rsid w:val="007C0A1C"/>
    <w:rsid w:val="007C17A1"/>
    <w:rsid w:val="007C1B5D"/>
    <w:rsid w:val="007C1FFC"/>
    <w:rsid w:val="007C394B"/>
    <w:rsid w:val="007C3FA7"/>
    <w:rsid w:val="007C6CBA"/>
    <w:rsid w:val="007D1990"/>
    <w:rsid w:val="007D23A3"/>
    <w:rsid w:val="007D295A"/>
    <w:rsid w:val="007D2D26"/>
    <w:rsid w:val="007D7795"/>
    <w:rsid w:val="007E0136"/>
    <w:rsid w:val="007E02C5"/>
    <w:rsid w:val="007E1428"/>
    <w:rsid w:val="007E17E1"/>
    <w:rsid w:val="007E2114"/>
    <w:rsid w:val="007E4C29"/>
    <w:rsid w:val="007E5DDF"/>
    <w:rsid w:val="007E76FB"/>
    <w:rsid w:val="007E78FB"/>
    <w:rsid w:val="007F2468"/>
    <w:rsid w:val="007F2EE4"/>
    <w:rsid w:val="007F3476"/>
    <w:rsid w:val="007F3BB3"/>
    <w:rsid w:val="007F4620"/>
    <w:rsid w:val="007F66B6"/>
    <w:rsid w:val="007F762C"/>
    <w:rsid w:val="007F77DE"/>
    <w:rsid w:val="007F782B"/>
    <w:rsid w:val="007F79F6"/>
    <w:rsid w:val="00802E2C"/>
    <w:rsid w:val="00803534"/>
    <w:rsid w:val="008035FD"/>
    <w:rsid w:val="008048F6"/>
    <w:rsid w:val="008074E0"/>
    <w:rsid w:val="00807633"/>
    <w:rsid w:val="0081011E"/>
    <w:rsid w:val="00812080"/>
    <w:rsid w:val="00812E8A"/>
    <w:rsid w:val="00813C3B"/>
    <w:rsid w:val="0081417A"/>
    <w:rsid w:val="008150F9"/>
    <w:rsid w:val="00816C1B"/>
    <w:rsid w:val="00817461"/>
    <w:rsid w:val="00817FA8"/>
    <w:rsid w:val="00820633"/>
    <w:rsid w:val="008243CA"/>
    <w:rsid w:val="008247FF"/>
    <w:rsid w:val="008264BC"/>
    <w:rsid w:val="00826BA7"/>
    <w:rsid w:val="0082760F"/>
    <w:rsid w:val="00827BA5"/>
    <w:rsid w:val="00827DD1"/>
    <w:rsid w:val="0083052F"/>
    <w:rsid w:val="008311F5"/>
    <w:rsid w:val="00832E3A"/>
    <w:rsid w:val="00835117"/>
    <w:rsid w:val="00835972"/>
    <w:rsid w:val="008373D9"/>
    <w:rsid w:val="00842D4B"/>
    <w:rsid w:val="00844854"/>
    <w:rsid w:val="00851171"/>
    <w:rsid w:val="00851985"/>
    <w:rsid w:val="00851C81"/>
    <w:rsid w:val="00853DB6"/>
    <w:rsid w:val="00853ED7"/>
    <w:rsid w:val="00854744"/>
    <w:rsid w:val="00854DE4"/>
    <w:rsid w:val="008561E8"/>
    <w:rsid w:val="00857287"/>
    <w:rsid w:val="008601C0"/>
    <w:rsid w:val="008612C8"/>
    <w:rsid w:val="00861B3F"/>
    <w:rsid w:val="00863516"/>
    <w:rsid w:val="00865FC4"/>
    <w:rsid w:val="00867F56"/>
    <w:rsid w:val="00870A0C"/>
    <w:rsid w:val="00871F1F"/>
    <w:rsid w:val="008727A1"/>
    <w:rsid w:val="00873BF5"/>
    <w:rsid w:val="00873E26"/>
    <w:rsid w:val="00873F33"/>
    <w:rsid w:val="00874592"/>
    <w:rsid w:val="0087472B"/>
    <w:rsid w:val="00874745"/>
    <w:rsid w:val="0087514B"/>
    <w:rsid w:val="0087543C"/>
    <w:rsid w:val="008772A8"/>
    <w:rsid w:val="0088151A"/>
    <w:rsid w:val="00882201"/>
    <w:rsid w:val="00883B79"/>
    <w:rsid w:val="008844D3"/>
    <w:rsid w:val="00885B63"/>
    <w:rsid w:val="00886532"/>
    <w:rsid w:val="008868B4"/>
    <w:rsid w:val="00887451"/>
    <w:rsid w:val="008900F1"/>
    <w:rsid w:val="008907BE"/>
    <w:rsid w:val="00890ECA"/>
    <w:rsid w:val="0089333C"/>
    <w:rsid w:val="00894447"/>
    <w:rsid w:val="0089561C"/>
    <w:rsid w:val="00895A3C"/>
    <w:rsid w:val="00896A83"/>
    <w:rsid w:val="00896C93"/>
    <w:rsid w:val="00897290"/>
    <w:rsid w:val="00897B41"/>
    <w:rsid w:val="008A0235"/>
    <w:rsid w:val="008A3869"/>
    <w:rsid w:val="008A4091"/>
    <w:rsid w:val="008A47C1"/>
    <w:rsid w:val="008A5050"/>
    <w:rsid w:val="008A5DCA"/>
    <w:rsid w:val="008A5F84"/>
    <w:rsid w:val="008B0AFC"/>
    <w:rsid w:val="008B118B"/>
    <w:rsid w:val="008B15ED"/>
    <w:rsid w:val="008B24BE"/>
    <w:rsid w:val="008B404F"/>
    <w:rsid w:val="008C0145"/>
    <w:rsid w:val="008C2630"/>
    <w:rsid w:val="008C2675"/>
    <w:rsid w:val="008C3480"/>
    <w:rsid w:val="008C4398"/>
    <w:rsid w:val="008C49C7"/>
    <w:rsid w:val="008C5757"/>
    <w:rsid w:val="008C6350"/>
    <w:rsid w:val="008C72D8"/>
    <w:rsid w:val="008C76DC"/>
    <w:rsid w:val="008C780A"/>
    <w:rsid w:val="008C7EA7"/>
    <w:rsid w:val="008D243B"/>
    <w:rsid w:val="008D280B"/>
    <w:rsid w:val="008D5864"/>
    <w:rsid w:val="008D6546"/>
    <w:rsid w:val="008D6B63"/>
    <w:rsid w:val="008D7A77"/>
    <w:rsid w:val="008E129C"/>
    <w:rsid w:val="008E2E09"/>
    <w:rsid w:val="008E3954"/>
    <w:rsid w:val="008E41BA"/>
    <w:rsid w:val="008E4B57"/>
    <w:rsid w:val="008E6955"/>
    <w:rsid w:val="008E7226"/>
    <w:rsid w:val="008E744F"/>
    <w:rsid w:val="008F19E6"/>
    <w:rsid w:val="008F4922"/>
    <w:rsid w:val="008F4D47"/>
    <w:rsid w:val="008F64A9"/>
    <w:rsid w:val="00900D83"/>
    <w:rsid w:val="00902BD4"/>
    <w:rsid w:val="00903224"/>
    <w:rsid w:val="00903B0F"/>
    <w:rsid w:val="00904E4C"/>
    <w:rsid w:val="009069D9"/>
    <w:rsid w:val="00906CA9"/>
    <w:rsid w:val="0090704B"/>
    <w:rsid w:val="00911559"/>
    <w:rsid w:val="00912084"/>
    <w:rsid w:val="009125A9"/>
    <w:rsid w:val="009133C3"/>
    <w:rsid w:val="00914573"/>
    <w:rsid w:val="0091488A"/>
    <w:rsid w:val="00914F5E"/>
    <w:rsid w:val="00916834"/>
    <w:rsid w:val="009175C7"/>
    <w:rsid w:val="00920613"/>
    <w:rsid w:val="00923137"/>
    <w:rsid w:val="00924266"/>
    <w:rsid w:val="00924BD5"/>
    <w:rsid w:val="0092591C"/>
    <w:rsid w:val="00925F8C"/>
    <w:rsid w:val="009277A8"/>
    <w:rsid w:val="00931798"/>
    <w:rsid w:val="009321EF"/>
    <w:rsid w:val="0093346D"/>
    <w:rsid w:val="00934747"/>
    <w:rsid w:val="00937245"/>
    <w:rsid w:val="00941262"/>
    <w:rsid w:val="009418A5"/>
    <w:rsid w:val="009426B7"/>
    <w:rsid w:val="00942DF2"/>
    <w:rsid w:val="00943078"/>
    <w:rsid w:val="0094407B"/>
    <w:rsid w:val="009456FE"/>
    <w:rsid w:val="00946AFF"/>
    <w:rsid w:val="00946BA1"/>
    <w:rsid w:val="009470A1"/>
    <w:rsid w:val="00947AAA"/>
    <w:rsid w:val="00951184"/>
    <w:rsid w:val="009518DF"/>
    <w:rsid w:val="00951A29"/>
    <w:rsid w:val="00951F9B"/>
    <w:rsid w:val="00954611"/>
    <w:rsid w:val="00954EDD"/>
    <w:rsid w:val="00955C73"/>
    <w:rsid w:val="00955F52"/>
    <w:rsid w:val="00956099"/>
    <w:rsid w:val="009573C3"/>
    <w:rsid w:val="00957A68"/>
    <w:rsid w:val="009600FF"/>
    <w:rsid w:val="00960454"/>
    <w:rsid w:val="00960F48"/>
    <w:rsid w:val="00961B42"/>
    <w:rsid w:val="009625C8"/>
    <w:rsid w:val="009640D2"/>
    <w:rsid w:val="00964B2B"/>
    <w:rsid w:val="00964E20"/>
    <w:rsid w:val="009652D6"/>
    <w:rsid w:val="00965CA6"/>
    <w:rsid w:val="00966BDF"/>
    <w:rsid w:val="00970B7D"/>
    <w:rsid w:val="009714CD"/>
    <w:rsid w:val="0097188B"/>
    <w:rsid w:val="0097257B"/>
    <w:rsid w:val="0097411B"/>
    <w:rsid w:val="00974413"/>
    <w:rsid w:val="00975135"/>
    <w:rsid w:val="0097638B"/>
    <w:rsid w:val="00977711"/>
    <w:rsid w:val="00977F98"/>
    <w:rsid w:val="00981050"/>
    <w:rsid w:val="0098105E"/>
    <w:rsid w:val="0098172F"/>
    <w:rsid w:val="0098437E"/>
    <w:rsid w:val="00985517"/>
    <w:rsid w:val="009866F0"/>
    <w:rsid w:val="0098703F"/>
    <w:rsid w:val="0098739F"/>
    <w:rsid w:val="00987B33"/>
    <w:rsid w:val="00987D09"/>
    <w:rsid w:val="00990405"/>
    <w:rsid w:val="00991A4F"/>
    <w:rsid w:val="009925A3"/>
    <w:rsid w:val="00992D4C"/>
    <w:rsid w:val="0099389C"/>
    <w:rsid w:val="00993BFE"/>
    <w:rsid w:val="00994AA0"/>
    <w:rsid w:val="00995FFA"/>
    <w:rsid w:val="009965A9"/>
    <w:rsid w:val="00996A4F"/>
    <w:rsid w:val="009A0C30"/>
    <w:rsid w:val="009A0D3D"/>
    <w:rsid w:val="009A0DCC"/>
    <w:rsid w:val="009A1711"/>
    <w:rsid w:val="009A254C"/>
    <w:rsid w:val="009A2865"/>
    <w:rsid w:val="009A29E0"/>
    <w:rsid w:val="009A2EF4"/>
    <w:rsid w:val="009A2FDB"/>
    <w:rsid w:val="009A506E"/>
    <w:rsid w:val="009A66E7"/>
    <w:rsid w:val="009A7D76"/>
    <w:rsid w:val="009B0E42"/>
    <w:rsid w:val="009B1995"/>
    <w:rsid w:val="009B2D5C"/>
    <w:rsid w:val="009B44EA"/>
    <w:rsid w:val="009B632B"/>
    <w:rsid w:val="009B6AD1"/>
    <w:rsid w:val="009C0963"/>
    <w:rsid w:val="009C4258"/>
    <w:rsid w:val="009C6570"/>
    <w:rsid w:val="009C732A"/>
    <w:rsid w:val="009C73C0"/>
    <w:rsid w:val="009C7D88"/>
    <w:rsid w:val="009D152B"/>
    <w:rsid w:val="009D2B00"/>
    <w:rsid w:val="009D4A66"/>
    <w:rsid w:val="009D5EA3"/>
    <w:rsid w:val="009D704F"/>
    <w:rsid w:val="009E03A5"/>
    <w:rsid w:val="009E04C0"/>
    <w:rsid w:val="009E062E"/>
    <w:rsid w:val="009E160B"/>
    <w:rsid w:val="009E1CC5"/>
    <w:rsid w:val="009E1FAE"/>
    <w:rsid w:val="009E2178"/>
    <w:rsid w:val="009E46C4"/>
    <w:rsid w:val="009E5302"/>
    <w:rsid w:val="009E7A61"/>
    <w:rsid w:val="009F04BE"/>
    <w:rsid w:val="009F1A9E"/>
    <w:rsid w:val="009F1B63"/>
    <w:rsid w:val="009F238E"/>
    <w:rsid w:val="009F3181"/>
    <w:rsid w:val="009F35F3"/>
    <w:rsid w:val="009F3A98"/>
    <w:rsid w:val="009F4AB7"/>
    <w:rsid w:val="009F5396"/>
    <w:rsid w:val="009F6009"/>
    <w:rsid w:val="009F6D64"/>
    <w:rsid w:val="009F7E9E"/>
    <w:rsid w:val="00A009E3"/>
    <w:rsid w:val="00A0187E"/>
    <w:rsid w:val="00A02D49"/>
    <w:rsid w:val="00A02EC7"/>
    <w:rsid w:val="00A04763"/>
    <w:rsid w:val="00A05153"/>
    <w:rsid w:val="00A05E75"/>
    <w:rsid w:val="00A070E4"/>
    <w:rsid w:val="00A070F2"/>
    <w:rsid w:val="00A1118F"/>
    <w:rsid w:val="00A111C7"/>
    <w:rsid w:val="00A1317B"/>
    <w:rsid w:val="00A135BF"/>
    <w:rsid w:val="00A13741"/>
    <w:rsid w:val="00A138F0"/>
    <w:rsid w:val="00A13E1F"/>
    <w:rsid w:val="00A148A4"/>
    <w:rsid w:val="00A15936"/>
    <w:rsid w:val="00A15D66"/>
    <w:rsid w:val="00A1612D"/>
    <w:rsid w:val="00A16341"/>
    <w:rsid w:val="00A16A1F"/>
    <w:rsid w:val="00A17383"/>
    <w:rsid w:val="00A1744A"/>
    <w:rsid w:val="00A2230A"/>
    <w:rsid w:val="00A23C11"/>
    <w:rsid w:val="00A24218"/>
    <w:rsid w:val="00A2487C"/>
    <w:rsid w:val="00A26596"/>
    <w:rsid w:val="00A265FC"/>
    <w:rsid w:val="00A26E0C"/>
    <w:rsid w:val="00A27A5B"/>
    <w:rsid w:val="00A30111"/>
    <w:rsid w:val="00A3157B"/>
    <w:rsid w:val="00A32192"/>
    <w:rsid w:val="00A326EB"/>
    <w:rsid w:val="00A33AC7"/>
    <w:rsid w:val="00A35927"/>
    <w:rsid w:val="00A36964"/>
    <w:rsid w:val="00A40AF0"/>
    <w:rsid w:val="00A45933"/>
    <w:rsid w:val="00A45B3F"/>
    <w:rsid w:val="00A45D99"/>
    <w:rsid w:val="00A46C4F"/>
    <w:rsid w:val="00A505ED"/>
    <w:rsid w:val="00A51805"/>
    <w:rsid w:val="00A52321"/>
    <w:rsid w:val="00A536FD"/>
    <w:rsid w:val="00A53C6B"/>
    <w:rsid w:val="00A542FC"/>
    <w:rsid w:val="00A55488"/>
    <w:rsid w:val="00A55687"/>
    <w:rsid w:val="00A56D71"/>
    <w:rsid w:val="00A609F3"/>
    <w:rsid w:val="00A61E5F"/>
    <w:rsid w:val="00A620F1"/>
    <w:rsid w:val="00A6277F"/>
    <w:rsid w:val="00A63341"/>
    <w:rsid w:val="00A65709"/>
    <w:rsid w:val="00A74B22"/>
    <w:rsid w:val="00A7595F"/>
    <w:rsid w:val="00A775DE"/>
    <w:rsid w:val="00A77CF2"/>
    <w:rsid w:val="00A77EFB"/>
    <w:rsid w:val="00A819A4"/>
    <w:rsid w:val="00A81D93"/>
    <w:rsid w:val="00A82D41"/>
    <w:rsid w:val="00A834B3"/>
    <w:rsid w:val="00A83572"/>
    <w:rsid w:val="00A8383D"/>
    <w:rsid w:val="00A838A1"/>
    <w:rsid w:val="00A83E5C"/>
    <w:rsid w:val="00A84EF0"/>
    <w:rsid w:val="00A855C1"/>
    <w:rsid w:val="00A856B2"/>
    <w:rsid w:val="00A87EA9"/>
    <w:rsid w:val="00A905DE"/>
    <w:rsid w:val="00A9076C"/>
    <w:rsid w:val="00A90B2C"/>
    <w:rsid w:val="00A90B6A"/>
    <w:rsid w:val="00A91226"/>
    <w:rsid w:val="00A93BE4"/>
    <w:rsid w:val="00A94461"/>
    <w:rsid w:val="00A950ED"/>
    <w:rsid w:val="00A9603E"/>
    <w:rsid w:val="00A97441"/>
    <w:rsid w:val="00A97C15"/>
    <w:rsid w:val="00AA0184"/>
    <w:rsid w:val="00AA0F7D"/>
    <w:rsid w:val="00AA1717"/>
    <w:rsid w:val="00AA208A"/>
    <w:rsid w:val="00AA297A"/>
    <w:rsid w:val="00AA3C95"/>
    <w:rsid w:val="00AA5204"/>
    <w:rsid w:val="00AA60E4"/>
    <w:rsid w:val="00AA7718"/>
    <w:rsid w:val="00AB0257"/>
    <w:rsid w:val="00AB0266"/>
    <w:rsid w:val="00AB0BCD"/>
    <w:rsid w:val="00AB2E5E"/>
    <w:rsid w:val="00AB41F4"/>
    <w:rsid w:val="00AB4B58"/>
    <w:rsid w:val="00AB4C1C"/>
    <w:rsid w:val="00AB51C3"/>
    <w:rsid w:val="00AB584D"/>
    <w:rsid w:val="00AB6E43"/>
    <w:rsid w:val="00AB71BE"/>
    <w:rsid w:val="00AB7866"/>
    <w:rsid w:val="00AC0D74"/>
    <w:rsid w:val="00AC15B7"/>
    <w:rsid w:val="00AC321C"/>
    <w:rsid w:val="00AC3A23"/>
    <w:rsid w:val="00AC3C2C"/>
    <w:rsid w:val="00AC4AA1"/>
    <w:rsid w:val="00AC4C52"/>
    <w:rsid w:val="00AC74B3"/>
    <w:rsid w:val="00AC7732"/>
    <w:rsid w:val="00AD04F8"/>
    <w:rsid w:val="00AD0636"/>
    <w:rsid w:val="00AD0946"/>
    <w:rsid w:val="00AD13B0"/>
    <w:rsid w:val="00AD1A5D"/>
    <w:rsid w:val="00AD2E51"/>
    <w:rsid w:val="00AD31B5"/>
    <w:rsid w:val="00AD3431"/>
    <w:rsid w:val="00AD3498"/>
    <w:rsid w:val="00AD500C"/>
    <w:rsid w:val="00AD532B"/>
    <w:rsid w:val="00AD5552"/>
    <w:rsid w:val="00AD5F82"/>
    <w:rsid w:val="00AD63B3"/>
    <w:rsid w:val="00AD6EEC"/>
    <w:rsid w:val="00AD7219"/>
    <w:rsid w:val="00AE0005"/>
    <w:rsid w:val="00AE211D"/>
    <w:rsid w:val="00AE226F"/>
    <w:rsid w:val="00AE2F50"/>
    <w:rsid w:val="00AE3773"/>
    <w:rsid w:val="00AE3AF9"/>
    <w:rsid w:val="00AE5050"/>
    <w:rsid w:val="00AE5C3C"/>
    <w:rsid w:val="00AE5DA8"/>
    <w:rsid w:val="00AE5F94"/>
    <w:rsid w:val="00AE61BD"/>
    <w:rsid w:val="00AE6537"/>
    <w:rsid w:val="00AE7020"/>
    <w:rsid w:val="00AE7DAF"/>
    <w:rsid w:val="00AE7E81"/>
    <w:rsid w:val="00AF0CC8"/>
    <w:rsid w:val="00AF1541"/>
    <w:rsid w:val="00AF16EC"/>
    <w:rsid w:val="00AF1D11"/>
    <w:rsid w:val="00AF1D4E"/>
    <w:rsid w:val="00AF3582"/>
    <w:rsid w:val="00AF39A9"/>
    <w:rsid w:val="00AF39B5"/>
    <w:rsid w:val="00AF4679"/>
    <w:rsid w:val="00AF505A"/>
    <w:rsid w:val="00AF5377"/>
    <w:rsid w:val="00AF553A"/>
    <w:rsid w:val="00AF5EEF"/>
    <w:rsid w:val="00AF64F5"/>
    <w:rsid w:val="00B00410"/>
    <w:rsid w:val="00B02E2D"/>
    <w:rsid w:val="00B036B0"/>
    <w:rsid w:val="00B03C42"/>
    <w:rsid w:val="00B054A3"/>
    <w:rsid w:val="00B062E2"/>
    <w:rsid w:val="00B07716"/>
    <w:rsid w:val="00B10409"/>
    <w:rsid w:val="00B10D03"/>
    <w:rsid w:val="00B120A1"/>
    <w:rsid w:val="00B123E9"/>
    <w:rsid w:val="00B128DD"/>
    <w:rsid w:val="00B1605C"/>
    <w:rsid w:val="00B167FA"/>
    <w:rsid w:val="00B16CB1"/>
    <w:rsid w:val="00B17932"/>
    <w:rsid w:val="00B20F11"/>
    <w:rsid w:val="00B21964"/>
    <w:rsid w:val="00B22069"/>
    <w:rsid w:val="00B23084"/>
    <w:rsid w:val="00B2326A"/>
    <w:rsid w:val="00B23FAF"/>
    <w:rsid w:val="00B241B2"/>
    <w:rsid w:val="00B24BA7"/>
    <w:rsid w:val="00B252C5"/>
    <w:rsid w:val="00B25F8D"/>
    <w:rsid w:val="00B268BC"/>
    <w:rsid w:val="00B26BD2"/>
    <w:rsid w:val="00B27D77"/>
    <w:rsid w:val="00B31630"/>
    <w:rsid w:val="00B31CB8"/>
    <w:rsid w:val="00B32944"/>
    <w:rsid w:val="00B366FD"/>
    <w:rsid w:val="00B36E08"/>
    <w:rsid w:val="00B40AFE"/>
    <w:rsid w:val="00B4132C"/>
    <w:rsid w:val="00B44BC8"/>
    <w:rsid w:val="00B45306"/>
    <w:rsid w:val="00B46253"/>
    <w:rsid w:val="00B46B3E"/>
    <w:rsid w:val="00B47B18"/>
    <w:rsid w:val="00B50B25"/>
    <w:rsid w:val="00B5198D"/>
    <w:rsid w:val="00B519B6"/>
    <w:rsid w:val="00B52C24"/>
    <w:rsid w:val="00B538CC"/>
    <w:rsid w:val="00B53F17"/>
    <w:rsid w:val="00B542D6"/>
    <w:rsid w:val="00B54F04"/>
    <w:rsid w:val="00B56994"/>
    <w:rsid w:val="00B57313"/>
    <w:rsid w:val="00B60702"/>
    <w:rsid w:val="00B62064"/>
    <w:rsid w:val="00B623DD"/>
    <w:rsid w:val="00B62CE9"/>
    <w:rsid w:val="00B63A21"/>
    <w:rsid w:val="00B63F11"/>
    <w:rsid w:val="00B64A71"/>
    <w:rsid w:val="00B65218"/>
    <w:rsid w:val="00B6547F"/>
    <w:rsid w:val="00B66377"/>
    <w:rsid w:val="00B66EF1"/>
    <w:rsid w:val="00B66FA3"/>
    <w:rsid w:val="00B67285"/>
    <w:rsid w:val="00B67EEC"/>
    <w:rsid w:val="00B722F0"/>
    <w:rsid w:val="00B74B55"/>
    <w:rsid w:val="00B76327"/>
    <w:rsid w:val="00B76DD1"/>
    <w:rsid w:val="00B77E08"/>
    <w:rsid w:val="00B77E7B"/>
    <w:rsid w:val="00B8014F"/>
    <w:rsid w:val="00B82435"/>
    <w:rsid w:val="00B83964"/>
    <w:rsid w:val="00B83FD3"/>
    <w:rsid w:val="00B85B18"/>
    <w:rsid w:val="00B85C04"/>
    <w:rsid w:val="00B86CFC"/>
    <w:rsid w:val="00B904C3"/>
    <w:rsid w:val="00B90701"/>
    <w:rsid w:val="00B914AB"/>
    <w:rsid w:val="00B91737"/>
    <w:rsid w:val="00B92C09"/>
    <w:rsid w:val="00B92FC7"/>
    <w:rsid w:val="00B92FEC"/>
    <w:rsid w:val="00B966A6"/>
    <w:rsid w:val="00B96F09"/>
    <w:rsid w:val="00B97107"/>
    <w:rsid w:val="00B975C1"/>
    <w:rsid w:val="00B97E76"/>
    <w:rsid w:val="00BA265E"/>
    <w:rsid w:val="00BA2F44"/>
    <w:rsid w:val="00BA3860"/>
    <w:rsid w:val="00BA401D"/>
    <w:rsid w:val="00BA4369"/>
    <w:rsid w:val="00BA511B"/>
    <w:rsid w:val="00BA56D6"/>
    <w:rsid w:val="00BA5782"/>
    <w:rsid w:val="00BA6861"/>
    <w:rsid w:val="00BA798A"/>
    <w:rsid w:val="00BA7B86"/>
    <w:rsid w:val="00BB117B"/>
    <w:rsid w:val="00BB1CAF"/>
    <w:rsid w:val="00BB39BE"/>
    <w:rsid w:val="00BB5F5D"/>
    <w:rsid w:val="00BB690E"/>
    <w:rsid w:val="00BB7AD4"/>
    <w:rsid w:val="00BC03FA"/>
    <w:rsid w:val="00BC0421"/>
    <w:rsid w:val="00BC0815"/>
    <w:rsid w:val="00BC3C70"/>
    <w:rsid w:val="00BC4562"/>
    <w:rsid w:val="00BC5ABF"/>
    <w:rsid w:val="00BD0DCB"/>
    <w:rsid w:val="00BD1311"/>
    <w:rsid w:val="00BD1ED8"/>
    <w:rsid w:val="00BD25CA"/>
    <w:rsid w:val="00BD2963"/>
    <w:rsid w:val="00BD3BEB"/>
    <w:rsid w:val="00BD6688"/>
    <w:rsid w:val="00BD7F77"/>
    <w:rsid w:val="00BE0A50"/>
    <w:rsid w:val="00BE3229"/>
    <w:rsid w:val="00BE37E0"/>
    <w:rsid w:val="00BE409A"/>
    <w:rsid w:val="00BE4321"/>
    <w:rsid w:val="00BE4573"/>
    <w:rsid w:val="00BE6C84"/>
    <w:rsid w:val="00BF0913"/>
    <w:rsid w:val="00BF1F29"/>
    <w:rsid w:val="00BF2FFC"/>
    <w:rsid w:val="00BF3377"/>
    <w:rsid w:val="00BF6093"/>
    <w:rsid w:val="00BF676C"/>
    <w:rsid w:val="00BF7019"/>
    <w:rsid w:val="00BF7041"/>
    <w:rsid w:val="00C01BEB"/>
    <w:rsid w:val="00C01CA4"/>
    <w:rsid w:val="00C02D1A"/>
    <w:rsid w:val="00C037DF"/>
    <w:rsid w:val="00C040E3"/>
    <w:rsid w:val="00C046C0"/>
    <w:rsid w:val="00C04A45"/>
    <w:rsid w:val="00C068F2"/>
    <w:rsid w:val="00C06DFD"/>
    <w:rsid w:val="00C06F1F"/>
    <w:rsid w:val="00C07E7F"/>
    <w:rsid w:val="00C1106E"/>
    <w:rsid w:val="00C1115F"/>
    <w:rsid w:val="00C119D1"/>
    <w:rsid w:val="00C12394"/>
    <w:rsid w:val="00C13735"/>
    <w:rsid w:val="00C16939"/>
    <w:rsid w:val="00C20787"/>
    <w:rsid w:val="00C25BF6"/>
    <w:rsid w:val="00C25D5B"/>
    <w:rsid w:val="00C270CC"/>
    <w:rsid w:val="00C27174"/>
    <w:rsid w:val="00C274DC"/>
    <w:rsid w:val="00C277F9"/>
    <w:rsid w:val="00C27ADA"/>
    <w:rsid w:val="00C319E8"/>
    <w:rsid w:val="00C32468"/>
    <w:rsid w:val="00C3333D"/>
    <w:rsid w:val="00C355E4"/>
    <w:rsid w:val="00C37750"/>
    <w:rsid w:val="00C40886"/>
    <w:rsid w:val="00C42EA2"/>
    <w:rsid w:val="00C43299"/>
    <w:rsid w:val="00C43343"/>
    <w:rsid w:val="00C45D44"/>
    <w:rsid w:val="00C47071"/>
    <w:rsid w:val="00C47D98"/>
    <w:rsid w:val="00C518E4"/>
    <w:rsid w:val="00C52A19"/>
    <w:rsid w:val="00C53F99"/>
    <w:rsid w:val="00C544F6"/>
    <w:rsid w:val="00C54F11"/>
    <w:rsid w:val="00C55369"/>
    <w:rsid w:val="00C55797"/>
    <w:rsid w:val="00C55D2A"/>
    <w:rsid w:val="00C57DC1"/>
    <w:rsid w:val="00C60B23"/>
    <w:rsid w:val="00C61B9E"/>
    <w:rsid w:val="00C61F94"/>
    <w:rsid w:val="00C62D74"/>
    <w:rsid w:val="00C633B1"/>
    <w:rsid w:val="00C638D5"/>
    <w:rsid w:val="00C643D6"/>
    <w:rsid w:val="00C644B1"/>
    <w:rsid w:val="00C6507C"/>
    <w:rsid w:val="00C65CC1"/>
    <w:rsid w:val="00C665A4"/>
    <w:rsid w:val="00C66D7C"/>
    <w:rsid w:val="00C70A8B"/>
    <w:rsid w:val="00C7112E"/>
    <w:rsid w:val="00C71CC4"/>
    <w:rsid w:val="00C71DAB"/>
    <w:rsid w:val="00C72366"/>
    <w:rsid w:val="00C72C77"/>
    <w:rsid w:val="00C74310"/>
    <w:rsid w:val="00C74F57"/>
    <w:rsid w:val="00C77C7E"/>
    <w:rsid w:val="00C81DA8"/>
    <w:rsid w:val="00C848DE"/>
    <w:rsid w:val="00C857B5"/>
    <w:rsid w:val="00C85855"/>
    <w:rsid w:val="00C875B5"/>
    <w:rsid w:val="00C87AFC"/>
    <w:rsid w:val="00C90806"/>
    <w:rsid w:val="00C922A0"/>
    <w:rsid w:val="00C92E85"/>
    <w:rsid w:val="00C93569"/>
    <w:rsid w:val="00C9388A"/>
    <w:rsid w:val="00C94198"/>
    <w:rsid w:val="00C9443C"/>
    <w:rsid w:val="00C963BE"/>
    <w:rsid w:val="00CA0011"/>
    <w:rsid w:val="00CA0434"/>
    <w:rsid w:val="00CA09CD"/>
    <w:rsid w:val="00CA1501"/>
    <w:rsid w:val="00CA1AAC"/>
    <w:rsid w:val="00CA2504"/>
    <w:rsid w:val="00CA3F68"/>
    <w:rsid w:val="00CA5180"/>
    <w:rsid w:val="00CA5F3E"/>
    <w:rsid w:val="00CA620B"/>
    <w:rsid w:val="00CA6EE9"/>
    <w:rsid w:val="00CA6F8F"/>
    <w:rsid w:val="00CA729C"/>
    <w:rsid w:val="00CA7363"/>
    <w:rsid w:val="00CB0854"/>
    <w:rsid w:val="00CB1AC9"/>
    <w:rsid w:val="00CB2422"/>
    <w:rsid w:val="00CB260F"/>
    <w:rsid w:val="00CB360D"/>
    <w:rsid w:val="00CB4870"/>
    <w:rsid w:val="00CB69D0"/>
    <w:rsid w:val="00CB6EBB"/>
    <w:rsid w:val="00CC1015"/>
    <w:rsid w:val="00CC143F"/>
    <w:rsid w:val="00CC1E53"/>
    <w:rsid w:val="00CC24DD"/>
    <w:rsid w:val="00CC2F2B"/>
    <w:rsid w:val="00CC3E90"/>
    <w:rsid w:val="00CC706C"/>
    <w:rsid w:val="00CC7F6E"/>
    <w:rsid w:val="00CD166B"/>
    <w:rsid w:val="00CD1EFE"/>
    <w:rsid w:val="00CD318D"/>
    <w:rsid w:val="00CD536F"/>
    <w:rsid w:val="00CD570E"/>
    <w:rsid w:val="00CD5EEE"/>
    <w:rsid w:val="00CD6AE1"/>
    <w:rsid w:val="00CD6CF0"/>
    <w:rsid w:val="00CD7EA0"/>
    <w:rsid w:val="00CE0945"/>
    <w:rsid w:val="00CE0F79"/>
    <w:rsid w:val="00CE36D6"/>
    <w:rsid w:val="00CE4F3B"/>
    <w:rsid w:val="00CE5292"/>
    <w:rsid w:val="00CE58B4"/>
    <w:rsid w:val="00CE669A"/>
    <w:rsid w:val="00CE776A"/>
    <w:rsid w:val="00CE786F"/>
    <w:rsid w:val="00CF07DC"/>
    <w:rsid w:val="00CF132C"/>
    <w:rsid w:val="00CF183C"/>
    <w:rsid w:val="00CF1F9F"/>
    <w:rsid w:val="00CF459B"/>
    <w:rsid w:val="00CF6465"/>
    <w:rsid w:val="00CF6C03"/>
    <w:rsid w:val="00CF6EEF"/>
    <w:rsid w:val="00CF7270"/>
    <w:rsid w:val="00CF7820"/>
    <w:rsid w:val="00CF7B1B"/>
    <w:rsid w:val="00D009DE"/>
    <w:rsid w:val="00D00E3E"/>
    <w:rsid w:val="00D01D6D"/>
    <w:rsid w:val="00D031FA"/>
    <w:rsid w:val="00D03D6A"/>
    <w:rsid w:val="00D063AB"/>
    <w:rsid w:val="00D065AC"/>
    <w:rsid w:val="00D06602"/>
    <w:rsid w:val="00D06864"/>
    <w:rsid w:val="00D06B1C"/>
    <w:rsid w:val="00D103B6"/>
    <w:rsid w:val="00D107A0"/>
    <w:rsid w:val="00D114D6"/>
    <w:rsid w:val="00D11C86"/>
    <w:rsid w:val="00D12B3A"/>
    <w:rsid w:val="00D13119"/>
    <w:rsid w:val="00D131A2"/>
    <w:rsid w:val="00D16971"/>
    <w:rsid w:val="00D17C6E"/>
    <w:rsid w:val="00D202AD"/>
    <w:rsid w:val="00D20420"/>
    <w:rsid w:val="00D2078B"/>
    <w:rsid w:val="00D2095C"/>
    <w:rsid w:val="00D21E3D"/>
    <w:rsid w:val="00D22136"/>
    <w:rsid w:val="00D22CC0"/>
    <w:rsid w:val="00D22EE0"/>
    <w:rsid w:val="00D24897"/>
    <w:rsid w:val="00D27C24"/>
    <w:rsid w:val="00D30604"/>
    <w:rsid w:val="00D30E85"/>
    <w:rsid w:val="00D31B18"/>
    <w:rsid w:val="00D32378"/>
    <w:rsid w:val="00D32D74"/>
    <w:rsid w:val="00D33A4C"/>
    <w:rsid w:val="00D33B25"/>
    <w:rsid w:val="00D36ABB"/>
    <w:rsid w:val="00D37B44"/>
    <w:rsid w:val="00D37D63"/>
    <w:rsid w:val="00D40218"/>
    <w:rsid w:val="00D40CA9"/>
    <w:rsid w:val="00D40DA1"/>
    <w:rsid w:val="00D41118"/>
    <w:rsid w:val="00D41189"/>
    <w:rsid w:val="00D41963"/>
    <w:rsid w:val="00D41FAE"/>
    <w:rsid w:val="00D44939"/>
    <w:rsid w:val="00D50C97"/>
    <w:rsid w:val="00D511AE"/>
    <w:rsid w:val="00D51528"/>
    <w:rsid w:val="00D5182E"/>
    <w:rsid w:val="00D51DCA"/>
    <w:rsid w:val="00D5338F"/>
    <w:rsid w:val="00D54BF0"/>
    <w:rsid w:val="00D55B08"/>
    <w:rsid w:val="00D60295"/>
    <w:rsid w:val="00D610E5"/>
    <w:rsid w:val="00D6227A"/>
    <w:rsid w:val="00D624E9"/>
    <w:rsid w:val="00D625DC"/>
    <w:rsid w:val="00D62F21"/>
    <w:rsid w:val="00D6323E"/>
    <w:rsid w:val="00D6349E"/>
    <w:rsid w:val="00D64392"/>
    <w:rsid w:val="00D64CE8"/>
    <w:rsid w:val="00D65B1B"/>
    <w:rsid w:val="00D65B37"/>
    <w:rsid w:val="00D66DEF"/>
    <w:rsid w:val="00D67104"/>
    <w:rsid w:val="00D6749B"/>
    <w:rsid w:val="00D7029A"/>
    <w:rsid w:val="00D7058E"/>
    <w:rsid w:val="00D71157"/>
    <w:rsid w:val="00D71292"/>
    <w:rsid w:val="00D718C0"/>
    <w:rsid w:val="00D727AD"/>
    <w:rsid w:val="00D7409E"/>
    <w:rsid w:val="00D7413F"/>
    <w:rsid w:val="00D80AE6"/>
    <w:rsid w:val="00D81284"/>
    <w:rsid w:val="00D81C10"/>
    <w:rsid w:val="00D82267"/>
    <w:rsid w:val="00D8236D"/>
    <w:rsid w:val="00D853C8"/>
    <w:rsid w:val="00D872E7"/>
    <w:rsid w:val="00D904DE"/>
    <w:rsid w:val="00D90CB3"/>
    <w:rsid w:val="00D90DB3"/>
    <w:rsid w:val="00D93283"/>
    <w:rsid w:val="00D93FCF"/>
    <w:rsid w:val="00D949CB"/>
    <w:rsid w:val="00D94AF1"/>
    <w:rsid w:val="00D94B49"/>
    <w:rsid w:val="00D95379"/>
    <w:rsid w:val="00D954C3"/>
    <w:rsid w:val="00D96219"/>
    <w:rsid w:val="00D96A9D"/>
    <w:rsid w:val="00D96FD3"/>
    <w:rsid w:val="00D96FDE"/>
    <w:rsid w:val="00D9739A"/>
    <w:rsid w:val="00D9756C"/>
    <w:rsid w:val="00D97FB2"/>
    <w:rsid w:val="00DA02B7"/>
    <w:rsid w:val="00DA037C"/>
    <w:rsid w:val="00DA1685"/>
    <w:rsid w:val="00DA278A"/>
    <w:rsid w:val="00DA3566"/>
    <w:rsid w:val="00DA65CC"/>
    <w:rsid w:val="00DA67C9"/>
    <w:rsid w:val="00DA7103"/>
    <w:rsid w:val="00DA7FD4"/>
    <w:rsid w:val="00DB1308"/>
    <w:rsid w:val="00DB15CA"/>
    <w:rsid w:val="00DB27BD"/>
    <w:rsid w:val="00DB4D0F"/>
    <w:rsid w:val="00DB577F"/>
    <w:rsid w:val="00DB5991"/>
    <w:rsid w:val="00DB5A43"/>
    <w:rsid w:val="00DB64CF"/>
    <w:rsid w:val="00DC1310"/>
    <w:rsid w:val="00DC1D92"/>
    <w:rsid w:val="00DC2852"/>
    <w:rsid w:val="00DC39A2"/>
    <w:rsid w:val="00DC3B99"/>
    <w:rsid w:val="00DC3F14"/>
    <w:rsid w:val="00DC440B"/>
    <w:rsid w:val="00DD0709"/>
    <w:rsid w:val="00DD0EEE"/>
    <w:rsid w:val="00DD1F0A"/>
    <w:rsid w:val="00DD382B"/>
    <w:rsid w:val="00DD3943"/>
    <w:rsid w:val="00DD40C4"/>
    <w:rsid w:val="00DD51F6"/>
    <w:rsid w:val="00DD7E09"/>
    <w:rsid w:val="00DE0F8D"/>
    <w:rsid w:val="00DE2856"/>
    <w:rsid w:val="00DE30CE"/>
    <w:rsid w:val="00DE3257"/>
    <w:rsid w:val="00DE57E0"/>
    <w:rsid w:val="00DE5F21"/>
    <w:rsid w:val="00DE6D1D"/>
    <w:rsid w:val="00DE7B1F"/>
    <w:rsid w:val="00DF043D"/>
    <w:rsid w:val="00DF0C29"/>
    <w:rsid w:val="00DF1632"/>
    <w:rsid w:val="00DF1740"/>
    <w:rsid w:val="00DF2235"/>
    <w:rsid w:val="00DF294B"/>
    <w:rsid w:val="00DF3D76"/>
    <w:rsid w:val="00DF4B48"/>
    <w:rsid w:val="00DF51DA"/>
    <w:rsid w:val="00DF5711"/>
    <w:rsid w:val="00DF5CF3"/>
    <w:rsid w:val="00DF76E7"/>
    <w:rsid w:val="00E01B55"/>
    <w:rsid w:val="00E01B9E"/>
    <w:rsid w:val="00E02A2E"/>
    <w:rsid w:val="00E03410"/>
    <w:rsid w:val="00E04182"/>
    <w:rsid w:val="00E052CA"/>
    <w:rsid w:val="00E05E85"/>
    <w:rsid w:val="00E0620D"/>
    <w:rsid w:val="00E0643A"/>
    <w:rsid w:val="00E12043"/>
    <w:rsid w:val="00E1251B"/>
    <w:rsid w:val="00E12964"/>
    <w:rsid w:val="00E12D9B"/>
    <w:rsid w:val="00E132AD"/>
    <w:rsid w:val="00E138E0"/>
    <w:rsid w:val="00E13AD3"/>
    <w:rsid w:val="00E13C21"/>
    <w:rsid w:val="00E14621"/>
    <w:rsid w:val="00E15328"/>
    <w:rsid w:val="00E154E1"/>
    <w:rsid w:val="00E178AC"/>
    <w:rsid w:val="00E227DA"/>
    <w:rsid w:val="00E23CBB"/>
    <w:rsid w:val="00E25F70"/>
    <w:rsid w:val="00E27102"/>
    <w:rsid w:val="00E27747"/>
    <w:rsid w:val="00E30028"/>
    <w:rsid w:val="00E30BF1"/>
    <w:rsid w:val="00E31950"/>
    <w:rsid w:val="00E31D18"/>
    <w:rsid w:val="00E32419"/>
    <w:rsid w:val="00E32B01"/>
    <w:rsid w:val="00E34BBF"/>
    <w:rsid w:val="00E34FDF"/>
    <w:rsid w:val="00E35053"/>
    <w:rsid w:val="00E35807"/>
    <w:rsid w:val="00E3640E"/>
    <w:rsid w:val="00E37B90"/>
    <w:rsid w:val="00E40475"/>
    <w:rsid w:val="00E416FF"/>
    <w:rsid w:val="00E435B1"/>
    <w:rsid w:val="00E44CB3"/>
    <w:rsid w:val="00E44F8D"/>
    <w:rsid w:val="00E462F9"/>
    <w:rsid w:val="00E46598"/>
    <w:rsid w:val="00E46A29"/>
    <w:rsid w:val="00E50098"/>
    <w:rsid w:val="00E5131D"/>
    <w:rsid w:val="00E5260F"/>
    <w:rsid w:val="00E541BD"/>
    <w:rsid w:val="00E5562E"/>
    <w:rsid w:val="00E568CF"/>
    <w:rsid w:val="00E57233"/>
    <w:rsid w:val="00E57A11"/>
    <w:rsid w:val="00E603A0"/>
    <w:rsid w:val="00E60F14"/>
    <w:rsid w:val="00E630BD"/>
    <w:rsid w:val="00E63189"/>
    <w:rsid w:val="00E64CA3"/>
    <w:rsid w:val="00E65C72"/>
    <w:rsid w:val="00E65D52"/>
    <w:rsid w:val="00E67B8A"/>
    <w:rsid w:val="00E71845"/>
    <w:rsid w:val="00E721D2"/>
    <w:rsid w:val="00E7478F"/>
    <w:rsid w:val="00E75B98"/>
    <w:rsid w:val="00E760CC"/>
    <w:rsid w:val="00E764F5"/>
    <w:rsid w:val="00E77EB6"/>
    <w:rsid w:val="00E8019F"/>
    <w:rsid w:val="00E80C85"/>
    <w:rsid w:val="00E81C5D"/>
    <w:rsid w:val="00E82E38"/>
    <w:rsid w:val="00E877C0"/>
    <w:rsid w:val="00E92082"/>
    <w:rsid w:val="00E946A2"/>
    <w:rsid w:val="00E97D5B"/>
    <w:rsid w:val="00EA0EF9"/>
    <w:rsid w:val="00EA2BE3"/>
    <w:rsid w:val="00EA34CA"/>
    <w:rsid w:val="00EA5257"/>
    <w:rsid w:val="00EB037A"/>
    <w:rsid w:val="00EB2075"/>
    <w:rsid w:val="00EB396A"/>
    <w:rsid w:val="00EB5C97"/>
    <w:rsid w:val="00EB696A"/>
    <w:rsid w:val="00EB76BB"/>
    <w:rsid w:val="00EB7902"/>
    <w:rsid w:val="00EB7BDD"/>
    <w:rsid w:val="00EC076F"/>
    <w:rsid w:val="00EC0A36"/>
    <w:rsid w:val="00EC1A1F"/>
    <w:rsid w:val="00EC24C3"/>
    <w:rsid w:val="00EC3622"/>
    <w:rsid w:val="00EC3C4C"/>
    <w:rsid w:val="00EC4FAB"/>
    <w:rsid w:val="00EC5C20"/>
    <w:rsid w:val="00EC6054"/>
    <w:rsid w:val="00EC68D9"/>
    <w:rsid w:val="00EC7400"/>
    <w:rsid w:val="00EC77CD"/>
    <w:rsid w:val="00EC7A56"/>
    <w:rsid w:val="00EC7A6C"/>
    <w:rsid w:val="00ED28CB"/>
    <w:rsid w:val="00ED33BE"/>
    <w:rsid w:val="00ED3D08"/>
    <w:rsid w:val="00ED51D9"/>
    <w:rsid w:val="00ED5655"/>
    <w:rsid w:val="00ED58AF"/>
    <w:rsid w:val="00ED7EDB"/>
    <w:rsid w:val="00EE041E"/>
    <w:rsid w:val="00EE07F6"/>
    <w:rsid w:val="00EE0E2F"/>
    <w:rsid w:val="00EE1DCB"/>
    <w:rsid w:val="00EE2094"/>
    <w:rsid w:val="00EE2193"/>
    <w:rsid w:val="00EE259D"/>
    <w:rsid w:val="00EE3716"/>
    <w:rsid w:val="00EE3CDE"/>
    <w:rsid w:val="00EE3DAC"/>
    <w:rsid w:val="00EE5106"/>
    <w:rsid w:val="00EE57AA"/>
    <w:rsid w:val="00EE5BA2"/>
    <w:rsid w:val="00EE6AE5"/>
    <w:rsid w:val="00EE6FE4"/>
    <w:rsid w:val="00EE7F08"/>
    <w:rsid w:val="00EF0400"/>
    <w:rsid w:val="00EF2A9B"/>
    <w:rsid w:val="00EF2C70"/>
    <w:rsid w:val="00EF31C7"/>
    <w:rsid w:val="00EF45E0"/>
    <w:rsid w:val="00EF4F4F"/>
    <w:rsid w:val="00EF5F4D"/>
    <w:rsid w:val="00EF70FF"/>
    <w:rsid w:val="00EF7E80"/>
    <w:rsid w:val="00F015CE"/>
    <w:rsid w:val="00F040AC"/>
    <w:rsid w:val="00F04C7D"/>
    <w:rsid w:val="00F068AA"/>
    <w:rsid w:val="00F072CD"/>
    <w:rsid w:val="00F1228D"/>
    <w:rsid w:val="00F123ED"/>
    <w:rsid w:val="00F142CB"/>
    <w:rsid w:val="00F143A9"/>
    <w:rsid w:val="00F1478B"/>
    <w:rsid w:val="00F17474"/>
    <w:rsid w:val="00F24E9A"/>
    <w:rsid w:val="00F255D6"/>
    <w:rsid w:val="00F25628"/>
    <w:rsid w:val="00F25944"/>
    <w:rsid w:val="00F30739"/>
    <w:rsid w:val="00F3085A"/>
    <w:rsid w:val="00F32922"/>
    <w:rsid w:val="00F32C5B"/>
    <w:rsid w:val="00F32ED2"/>
    <w:rsid w:val="00F33734"/>
    <w:rsid w:val="00F337F4"/>
    <w:rsid w:val="00F34715"/>
    <w:rsid w:val="00F348B2"/>
    <w:rsid w:val="00F361C6"/>
    <w:rsid w:val="00F36848"/>
    <w:rsid w:val="00F36C2C"/>
    <w:rsid w:val="00F3775F"/>
    <w:rsid w:val="00F37EF1"/>
    <w:rsid w:val="00F47F84"/>
    <w:rsid w:val="00F50E2D"/>
    <w:rsid w:val="00F5187B"/>
    <w:rsid w:val="00F51C2C"/>
    <w:rsid w:val="00F53A5C"/>
    <w:rsid w:val="00F551C1"/>
    <w:rsid w:val="00F553FE"/>
    <w:rsid w:val="00F566FA"/>
    <w:rsid w:val="00F5716D"/>
    <w:rsid w:val="00F5735E"/>
    <w:rsid w:val="00F609D1"/>
    <w:rsid w:val="00F60DBF"/>
    <w:rsid w:val="00F6386E"/>
    <w:rsid w:val="00F64AF9"/>
    <w:rsid w:val="00F64D62"/>
    <w:rsid w:val="00F65298"/>
    <w:rsid w:val="00F65B0D"/>
    <w:rsid w:val="00F65B5D"/>
    <w:rsid w:val="00F679B4"/>
    <w:rsid w:val="00F705E8"/>
    <w:rsid w:val="00F71681"/>
    <w:rsid w:val="00F723A7"/>
    <w:rsid w:val="00F72AB0"/>
    <w:rsid w:val="00F72E9D"/>
    <w:rsid w:val="00F72F15"/>
    <w:rsid w:val="00F74B0F"/>
    <w:rsid w:val="00F74BD2"/>
    <w:rsid w:val="00F75DEB"/>
    <w:rsid w:val="00F76C5D"/>
    <w:rsid w:val="00F7705B"/>
    <w:rsid w:val="00F7723A"/>
    <w:rsid w:val="00F7751F"/>
    <w:rsid w:val="00F80570"/>
    <w:rsid w:val="00F8075F"/>
    <w:rsid w:val="00F81B22"/>
    <w:rsid w:val="00F821D4"/>
    <w:rsid w:val="00F8304F"/>
    <w:rsid w:val="00F84B8F"/>
    <w:rsid w:val="00F85101"/>
    <w:rsid w:val="00F86558"/>
    <w:rsid w:val="00F87071"/>
    <w:rsid w:val="00F8732B"/>
    <w:rsid w:val="00F90849"/>
    <w:rsid w:val="00F915BB"/>
    <w:rsid w:val="00F92B94"/>
    <w:rsid w:val="00F948F5"/>
    <w:rsid w:val="00FA19C2"/>
    <w:rsid w:val="00FA2960"/>
    <w:rsid w:val="00FA2C37"/>
    <w:rsid w:val="00FA2FFD"/>
    <w:rsid w:val="00FA3201"/>
    <w:rsid w:val="00FA3FB8"/>
    <w:rsid w:val="00FA58DF"/>
    <w:rsid w:val="00FA5A02"/>
    <w:rsid w:val="00FA5A3B"/>
    <w:rsid w:val="00FA6049"/>
    <w:rsid w:val="00FA6EC0"/>
    <w:rsid w:val="00FA7E74"/>
    <w:rsid w:val="00FB0CD2"/>
    <w:rsid w:val="00FB0ED4"/>
    <w:rsid w:val="00FB10B5"/>
    <w:rsid w:val="00FB14EF"/>
    <w:rsid w:val="00FB2DCE"/>
    <w:rsid w:val="00FB381C"/>
    <w:rsid w:val="00FB55A6"/>
    <w:rsid w:val="00FB55C7"/>
    <w:rsid w:val="00FB56D8"/>
    <w:rsid w:val="00FB5CA5"/>
    <w:rsid w:val="00FB6655"/>
    <w:rsid w:val="00FC06B7"/>
    <w:rsid w:val="00FC1D3D"/>
    <w:rsid w:val="00FC24AF"/>
    <w:rsid w:val="00FC30B2"/>
    <w:rsid w:val="00FC31F4"/>
    <w:rsid w:val="00FC3267"/>
    <w:rsid w:val="00FC42D4"/>
    <w:rsid w:val="00FC5BA1"/>
    <w:rsid w:val="00FC7332"/>
    <w:rsid w:val="00FD026B"/>
    <w:rsid w:val="00FD0A7C"/>
    <w:rsid w:val="00FD3203"/>
    <w:rsid w:val="00FD3672"/>
    <w:rsid w:val="00FD43E8"/>
    <w:rsid w:val="00FD49C8"/>
    <w:rsid w:val="00FD717C"/>
    <w:rsid w:val="00FD72A7"/>
    <w:rsid w:val="00FD769F"/>
    <w:rsid w:val="00FE01B9"/>
    <w:rsid w:val="00FE3070"/>
    <w:rsid w:val="00FE3DDB"/>
    <w:rsid w:val="00FE5200"/>
    <w:rsid w:val="00FE5A65"/>
    <w:rsid w:val="00FE5B49"/>
    <w:rsid w:val="00FE654E"/>
    <w:rsid w:val="00FE6684"/>
    <w:rsid w:val="00FF1475"/>
    <w:rsid w:val="00FF1CAB"/>
    <w:rsid w:val="00FF1F3B"/>
    <w:rsid w:val="00FF2BC8"/>
    <w:rsid w:val="00FF2FB9"/>
    <w:rsid w:val="00FF5F4C"/>
    <w:rsid w:val="00FF75D1"/>
    <w:rsid w:val="00FF7A92"/>
    <w:rsid w:val="030A3199"/>
    <w:rsid w:val="03DB1891"/>
    <w:rsid w:val="047D5987"/>
    <w:rsid w:val="083A3681"/>
    <w:rsid w:val="0925C3ED"/>
    <w:rsid w:val="0DA699B7"/>
    <w:rsid w:val="11F697AB"/>
    <w:rsid w:val="154A71D0"/>
    <w:rsid w:val="1982B78F"/>
    <w:rsid w:val="19E152AE"/>
    <w:rsid w:val="201C6E3D"/>
    <w:rsid w:val="20974BEB"/>
    <w:rsid w:val="24B9AB89"/>
    <w:rsid w:val="25876166"/>
    <w:rsid w:val="29E424CC"/>
    <w:rsid w:val="2A5F4A33"/>
    <w:rsid w:val="2C53AB27"/>
    <w:rsid w:val="2CA3AAFA"/>
    <w:rsid w:val="319E06B4"/>
    <w:rsid w:val="32877428"/>
    <w:rsid w:val="338BD5BC"/>
    <w:rsid w:val="342FC49B"/>
    <w:rsid w:val="38B55625"/>
    <w:rsid w:val="39C542BF"/>
    <w:rsid w:val="3CF6C0F9"/>
    <w:rsid w:val="409FA19E"/>
    <w:rsid w:val="4203861B"/>
    <w:rsid w:val="4B005CBE"/>
    <w:rsid w:val="4CD6B95E"/>
    <w:rsid w:val="4FD36A70"/>
    <w:rsid w:val="542F68BC"/>
    <w:rsid w:val="55989934"/>
    <w:rsid w:val="59B8334E"/>
    <w:rsid w:val="5A186DCF"/>
    <w:rsid w:val="5DE1782B"/>
    <w:rsid w:val="60C4ACFC"/>
    <w:rsid w:val="618FEE90"/>
    <w:rsid w:val="6511F796"/>
    <w:rsid w:val="698713C8"/>
    <w:rsid w:val="6B34779C"/>
    <w:rsid w:val="6F050035"/>
    <w:rsid w:val="70DA369C"/>
    <w:rsid w:val="75A461E7"/>
    <w:rsid w:val="764699D2"/>
    <w:rsid w:val="7794635C"/>
    <w:rsid w:val="795E549C"/>
    <w:rsid w:val="797F8A95"/>
    <w:rsid w:val="7CDA184A"/>
    <w:rsid w:val="7FB5AC8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2825D"/>
  <w15:chartTrackingRefBased/>
  <w15:docId w15:val="{69C87E07-1A54-410D-8738-368946A4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437B"/>
    <w:pPr>
      <w:spacing w:after="200" w:line="276" w:lineRule="auto"/>
    </w:pPr>
    <w:rPr>
      <w:sz w:val="22"/>
      <w:szCs w:val="22"/>
      <w:lang w:eastAsia="en-US"/>
    </w:rPr>
  </w:style>
  <w:style w:type="paragraph" w:styleId="Nagwek1">
    <w:name w:val="heading 1"/>
    <w:basedOn w:val="Normalny"/>
    <w:next w:val="Normalny"/>
    <w:link w:val="Nagwek1Znak"/>
    <w:uiPriority w:val="9"/>
    <w:qFormat/>
    <w:rsid w:val="00C52A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aliases w:val="nowy"/>
    <w:basedOn w:val="Standardowy"/>
    <w:uiPriority w:val="39"/>
    <w:rsid w:val="007F3476"/>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List Paragraph2,Podsis rysunku,Akapit z listą4,Akapit z listą BS,T_SZ_List Paragraph,BulletC,normalny tekst,List bullet,Obiekt,List Paragraph1,WYPUNKTOWANIE Akapit z listą,zwykły tekst,A_wyliczenie,K-P_odwolanie"/>
    <w:basedOn w:val="Normalny"/>
    <w:link w:val="AkapitzlistZnak"/>
    <w:uiPriority w:val="34"/>
    <w:qFormat/>
    <w:rsid w:val="007F3476"/>
    <w:pPr>
      <w:ind w:left="720"/>
      <w:contextualSpacing/>
    </w:pPr>
  </w:style>
  <w:style w:type="character" w:styleId="Odwoaniedokomentarza">
    <w:name w:val="annotation reference"/>
    <w:uiPriority w:val="99"/>
    <w:unhideWhenUsed/>
    <w:rsid w:val="00CE36D6"/>
    <w:rPr>
      <w:sz w:val="16"/>
      <w:szCs w:val="16"/>
    </w:rPr>
  </w:style>
  <w:style w:type="paragraph" w:styleId="Tekstkomentarza">
    <w:name w:val="annotation text"/>
    <w:aliases w:val="Tekst komentarza Znak Znak,Znak3 Znak Znak, Znak3 Znak Znak, Znak,Znak"/>
    <w:basedOn w:val="Normalny"/>
    <w:link w:val="TekstkomentarzaZnak"/>
    <w:uiPriority w:val="99"/>
    <w:unhideWhenUsed/>
    <w:rsid w:val="00CE36D6"/>
    <w:pPr>
      <w:spacing w:line="240" w:lineRule="auto"/>
    </w:pPr>
    <w:rPr>
      <w:sz w:val="20"/>
      <w:szCs w:val="20"/>
    </w:rPr>
  </w:style>
  <w:style w:type="character" w:customStyle="1" w:styleId="TekstkomentarzaZnak">
    <w:name w:val="Tekst komentarza Znak"/>
    <w:aliases w:val="Tekst komentarza Znak Znak Znak,Znak3 Znak Znak Znak, Znak3 Znak Znak Znak, Znak Znak,Znak Znak"/>
    <w:link w:val="Tekstkomentarza"/>
    <w:uiPriority w:val="99"/>
    <w:rsid w:val="00CE36D6"/>
    <w:rPr>
      <w:sz w:val="20"/>
      <w:szCs w:val="20"/>
    </w:rPr>
  </w:style>
  <w:style w:type="paragraph" w:styleId="Tematkomentarza">
    <w:name w:val="annotation subject"/>
    <w:basedOn w:val="Tekstkomentarza"/>
    <w:next w:val="Tekstkomentarza"/>
    <w:link w:val="TematkomentarzaZnak"/>
    <w:uiPriority w:val="99"/>
    <w:semiHidden/>
    <w:unhideWhenUsed/>
    <w:rsid w:val="00CE36D6"/>
    <w:rPr>
      <w:b/>
      <w:bCs/>
    </w:rPr>
  </w:style>
  <w:style w:type="character" w:customStyle="1" w:styleId="TematkomentarzaZnak">
    <w:name w:val="Temat komentarza Znak"/>
    <w:link w:val="Tematkomentarza"/>
    <w:uiPriority w:val="99"/>
    <w:semiHidden/>
    <w:rsid w:val="00CE36D6"/>
    <w:rPr>
      <w:b/>
      <w:bCs/>
      <w:sz w:val="20"/>
      <w:szCs w:val="20"/>
    </w:rPr>
  </w:style>
  <w:style w:type="paragraph" w:styleId="Tekstdymka">
    <w:name w:val="Balloon Text"/>
    <w:basedOn w:val="Normalny"/>
    <w:link w:val="TekstdymkaZnak"/>
    <w:uiPriority w:val="99"/>
    <w:semiHidden/>
    <w:unhideWhenUsed/>
    <w:rsid w:val="00CE36D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E36D6"/>
    <w:rPr>
      <w:rFonts w:ascii="Tahoma" w:hAnsi="Tahoma" w:cs="Tahoma"/>
      <w:sz w:val="16"/>
      <w:szCs w:val="16"/>
    </w:rPr>
  </w:style>
  <w:style w:type="paragraph" w:styleId="Tekstprzypisudolnego">
    <w:name w:val="footnote text"/>
    <w:aliases w:val="Podrozdział,Footnote,Podrozdzia3,Podrozdział Znak,-E Fuﬂnotentext,Fuﬂnotentext Ursprung,Fußnotentext Ursprung,-E Fußnotentext,Fußnote,Footnote text,Tekst przypisu Znak Znak Znak Znak,footnote text,PRZYPISKI,Tekst przypisu"/>
    <w:basedOn w:val="Normalny"/>
    <w:link w:val="TekstprzypisudolnegoZnak"/>
    <w:uiPriority w:val="99"/>
    <w:unhideWhenUsed/>
    <w:rsid w:val="00BA3860"/>
    <w:pPr>
      <w:spacing w:after="0" w:line="240" w:lineRule="auto"/>
    </w:pPr>
    <w:rPr>
      <w:sz w:val="20"/>
      <w:szCs w:val="20"/>
    </w:rPr>
  </w:style>
  <w:style w:type="character" w:customStyle="1" w:styleId="TekstprzypisudolnegoZnak">
    <w:name w:val="Tekst przypisu dolnego Znak"/>
    <w:aliases w:val="Podrozdział Znak1,Footnote Znak,Podrozdzia3 Znak,Podrozdział Znak Znak,-E Fuﬂnotentext Znak,Fuﬂnotentext Ursprung Znak,Fußnotentext Ursprung Znak,-E Fußnotentext Znak,Fußnote Znak,Footnote text Znak,footnote text Znak"/>
    <w:link w:val="Tekstprzypisudolnego"/>
    <w:uiPriority w:val="99"/>
    <w:rsid w:val="00BA3860"/>
    <w:rPr>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unhideWhenUsed/>
    <w:rsid w:val="00BA3860"/>
    <w:rPr>
      <w:vertAlign w:val="superscript"/>
    </w:rPr>
  </w:style>
  <w:style w:type="paragraph" w:styleId="Poprawka">
    <w:name w:val="Revision"/>
    <w:hidden/>
    <w:uiPriority w:val="99"/>
    <w:semiHidden/>
    <w:rsid w:val="006D1BB3"/>
    <w:rPr>
      <w:sz w:val="22"/>
      <w:szCs w:val="22"/>
      <w:lang w:eastAsia="en-US"/>
    </w:rPr>
  </w:style>
  <w:style w:type="paragraph" w:styleId="Nagwek">
    <w:name w:val="header"/>
    <w:basedOn w:val="Normalny"/>
    <w:link w:val="NagwekZnak"/>
    <w:uiPriority w:val="99"/>
    <w:unhideWhenUsed/>
    <w:rsid w:val="00480C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0CFB"/>
  </w:style>
  <w:style w:type="paragraph" w:styleId="Stopka">
    <w:name w:val="footer"/>
    <w:basedOn w:val="Normalny"/>
    <w:link w:val="StopkaZnak"/>
    <w:uiPriority w:val="99"/>
    <w:unhideWhenUsed/>
    <w:rsid w:val="00480C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0CFB"/>
  </w:style>
  <w:style w:type="character" w:styleId="Hipercze">
    <w:name w:val="Hyperlink"/>
    <w:uiPriority w:val="99"/>
    <w:unhideWhenUsed/>
    <w:rsid w:val="00887451"/>
    <w:rPr>
      <w:color w:val="0000FF"/>
      <w:u w:val="single"/>
    </w:rPr>
  </w:style>
  <w:style w:type="character" w:customStyle="1" w:styleId="TekstkomentarzaZnak1">
    <w:name w:val="Tekst komentarza Znak1"/>
    <w:uiPriority w:val="99"/>
    <w:locked/>
    <w:rsid w:val="00760805"/>
    <w:rPr>
      <w:rFonts w:ascii="Arial" w:hAnsi="Arial"/>
      <w:sz w:val="20"/>
    </w:rPr>
  </w:style>
  <w:style w:type="character" w:customStyle="1" w:styleId="AkapitzlistZnak">
    <w:name w:val="Akapit z listą Znak"/>
    <w:aliases w:val="Numerowanie Znak,List Paragraph Znak,List Paragraph2 Znak,Podsis rysunku Znak,Akapit z listą4 Znak,Akapit z listą BS Znak,T_SZ_List Paragraph Znak,BulletC Znak,normalny tekst Znak,List bullet Znak,Obiekt Znak,List Paragraph1 Znak"/>
    <w:link w:val="Akapitzlist"/>
    <w:uiPriority w:val="34"/>
    <w:qFormat/>
    <w:locked/>
    <w:rsid w:val="00484575"/>
    <w:rPr>
      <w:sz w:val="22"/>
      <w:szCs w:val="22"/>
      <w:lang w:eastAsia="en-US"/>
    </w:rPr>
  </w:style>
  <w:style w:type="character" w:customStyle="1" w:styleId="NagwekZnak1">
    <w:name w:val="Nagłówek Znak1"/>
    <w:uiPriority w:val="99"/>
    <w:semiHidden/>
    <w:locked/>
    <w:rsid w:val="005465BE"/>
    <w:rPr>
      <w:rFonts w:ascii="Arial" w:hAnsi="Arial"/>
    </w:rPr>
  </w:style>
  <w:style w:type="character" w:customStyle="1" w:styleId="cf01">
    <w:name w:val="cf01"/>
    <w:basedOn w:val="Domylnaczcionkaakapitu"/>
    <w:rsid w:val="004F74F6"/>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411CE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1CE1"/>
    <w:rPr>
      <w:lang w:eastAsia="en-US"/>
    </w:rPr>
  </w:style>
  <w:style w:type="character" w:styleId="Odwoanieprzypisukocowego">
    <w:name w:val="endnote reference"/>
    <w:basedOn w:val="Domylnaczcionkaakapitu"/>
    <w:uiPriority w:val="99"/>
    <w:semiHidden/>
    <w:unhideWhenUsed/>
    <w:rsid w:val="00411CE1"/>
    <w:rPr>
      <w:vertAlign w:val="superscript"/>
    </w:rPr>
  </w:style>
  <w:style w:type="character" w:customStyle="1" w:styleId="Nagwek1Znak">
    <w:name w:val="Nagłówek 1 Znak"/>
    <w:basedOn w:val="Domylnaczcionkaakapitu"/>
    <w:link w:val="Nagwek1"/>
    <w:uiPriority w:val="9"/>
    <w:rsid w:val="00C52A19"/>
    <w:rPr>
      <w:rFonts w:asciiTheme="majorHAnsi" w:eastAsiaTheme="majorEastAsia" w:hAnsiTheme="majorHAnsi" w:cstheme="majorBidi"/>
      <w:color w:val="2F5496" w:themeColor="accent1" w:themeShade="BF"/>
      <w:sz w:val="32"/>
      <w:szCs w:val="32"/>
      <w:lang w:eastAsia="en-US"/>
    </w:rPr>
  </w:style>
  <w:style w:type="paragraph" w:customStyle="1" w:styleId="Default">
    <w:name w:val="Default"/>
    <w:rsid w:val="00C52A19"/>
    <w:pPr>
      <w:autoSpaceDE w:val="0"/>
      <w:autoSpaceDN w:val="0"/>
      <w:adjustRightInd w:val="0"/>
    </w:pPr>
    <w:rPr>
      <w:rFonts w:ascii="Arial" w:hAnsi="Arial" w:cs="Arial"/>
      <w:color w:val="000000"/>
      <w:sz w:val="24"/>
      <w:szCs w:val="24"/>
      <w:lang w:eastAsia="pl-PL"/>
    </w:rPr>
  </w:style>
  <w:style w:type="paragraph" w:customStyle="1" w:styleId="Umowaparagrafy">
    <w:name w:val="Umowa_paragrafy"/>
    <w:basedOn w:val="Normalny"/>
    <w:link w:val="UmowaparagrafyZnak"/>
    <w:qFormat/>
    <w:rsid w:val="00C52A19"/>
    <w:pPr>
      <w:keepNext/>
      <w:autoSpaceDE w:val="0"/>
      <w:autoSpaceDN w:val="0"/>
      <w:adjustRightInd w:val="0"/>
      <w:spacing w:before="360" w:after="360" w:line="240" w:lineRule="auto"/>
      <w:jc w:val="center"/>
      <w:outlineLvl w:val="0"/>
    </w:pPr>
    <w:rPr>
      <w:rFonts w:ascii="Arial" w:eastAsia="Times New Roman" w:hAnsi="Arial" w:cs="Arial"/>
      <w:b/>
      <w:bCs/>
      <w:lang w:eastAsia="pl-PL"/>
    </w:rPr>
  </w:style>
  <w:style w:type="character" w:customStyle="1" w:styleId="UmowaparagrafyZnak">
    <w:name w:val="Umowa_paragrafy Znak"/>
    <w:link w:val="Umowaparagrafy"/>
    <w:rsid w:val="00C52A19"/>
    <w:rPr>
      <w:rFonts w:ascii="Arial" w:eastAsia="Times New Roman" w:hAnsi="Arial" w:cs="Arial"/>
      <w:b/>
      <w:bCs/>
      <w:sz w:val="22"/>
      <w:szCs w:val="22"/>
      <w:lang w:eastAsia="pl-PL"/>
    </w:rPr>
  </w:style>
  <w:style w:type="paragraph" w:styleId="Tytu">
    <w:name w:val="Title"/>
    <w:basedOn w:val="Normalny"/>
    <w:next w:val="Normalny"/>
    <w:link w:val="TytuZnak"/>
    <w:uiPriority w:val="10"/>
    <w:qFormat/>
    <w:rsid w:val="00C52A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2A19"/>
    <w:rPr>
      <w:rFonts w:asciiTheme="majorHAnsi" w:eastAsiaTheme="majorEastAsia" w:hAnsiTheme="majorHAnsi" w:cstheme="majorBidi"/>
      <w:spacing w:val="-10"/>
      <w:kern w:val="28"/>
      <w:sz w:val="56"/>
      <w:szCs w:val="56"/>
      <w:lang w:eastAsia="en-US"/>
    </w:rPr>
  </w:style>
  <w:style w:type="character" w:customStyle="1" w:styleId="Nierozpoznanawzmianka1">
    <w:name w:val="Nierozpoznana wzmianka1"/>
    <w:basedOn w:val="Domylnaczcionkaakapitu"/>
    <w:uiPriority w:val="99"/>
    <w:semiHidden/>
    <w:unhideWhenUsed/>
    <w:rsid w:val="00FE3070"/>
    <w:rPr>
      <w:color w:val="605E5C"/>
      <w:shd w:val="clear" w:color="auto" w:fill="E1DFDD"/>
    </w:rPr>
  </w:style>
  <w:style w:type="character" w:customStyle="1" w:styleId="Nierozpoznanawzmianka2">
    <w:name w:val="Nierozpoznana wzmianka2"/>
    <w:basedOn w:val="Domylnaczcionkaakapitu"/>
    <w:uiPriority w:val="99"/>
    <w:semiHidden/>
    <w:unhideWhenUsed/>
    <w:rsid w:val="00EA5257"/>
    <w:rPr>
      <w:color w:val="605E5C"/>
      <w:shd w:val="clear" w:color="auto" w:fill="E1DFDD"/>
    </w:rPr>
  </w:style>
  <w:style w:type="character" w:customStyle="1" w:styleId="Nierozpoznanawzmianka3">
    <w:name w:val="Nierozpoznana wzmianka3"/>
    <w:basedOn w:val="Domylnaczcionkaakapitu"/>
    <w:uiPriority w:val="99"/>
    <w:semiHidden/>
    <w:unhideWhenUsed/>
    <w:rsid w:val="00970B7D"/>
    <w:rPr>
      <w:color w:val="605E5C"/>
      <w:shd w:val="clear" w:color="auto" w:fill="E1DFDD"/>
    </w:rPr>
  </w:style>
  <w:style w:type="character" w:styleId="UyteHipercze">
    <w:name w:val="FollowedHyperlink"/>
    <w:basedOn w:val="Domylnaczcionkaakapitu"/>
    <w:uiPriority w:val="99"/>
    <w:semiHidden/>
    <w:unhideWhenUsed/>
    <w:rsid w:val="00CD1EFE"/>
    <w:rPr>
      <w:color w:val="954F72" w:themeColor="followedHyperlink"/>
      <w:u w:val="single"/>
    </w:rPr>
  </w:style>
  <w:style w:type="paragraph" w:styleId="Tekstpodstawowy">
    <w:name w:val="Body Text"/>
    <w:basedOn w:val="Normalny"/>
    <w:link w:val="TekstpodstawowyZnak"/>
    <w:rsid w:val="00E0620D"/>
    <w:pPr>
      <w:spacing w:before="120" w:after="120" w:line="360" w:lineRule="auto"/>
      <w:jc w:val="both"/>
    </w:pPr>
    <w:rPr>
      <w:rFonts w:asciiTheme="minorHAnsi" w:eastAsia="Times New Roman" w:hAnsiTheme="minorHAnsi"/>
      <w:color w:val="0000FF"/>
      <w:sz w:val="24"/>
      <w:szCs w:val="24"/>
      <w:lang w:eastAsia="pl-PL"/>
    </w:rPr>
  </w:style>
  <w:style w:type="character" w:customStyle="1" w:styleId="TekstpodstawowyZnak">
    <w:name w:val="Tekst podstawowy Znak"/>
    <w:basedOn w:val="Domylnaczcionkaakapitu"/>
    <w:link w:val="Tekstpodstawowy"/>
    <w:rsid w:val="00E0620D"/>
    <w:rPr>
      <w:rFonts w:asciiTheme="minorHAnsi" w:eastAsia="Times New Roman" w:hAnsiTheme="minorHAnsi"/>
      <w:color w:val="0000FF"/>
      <w:sz w:val="24"/>
      <w:szCs w:val="24"/>
      <w:lang w:eastAsia="pl-PL"/>
    </w:rPr>
  </w:style>
  <w:style w:type="character" w:customStyle="1" w:styleId="Nierozpoznanawzmianka4">
    <w:name w:val="Nierozpoznana wzmianka4"/>
    <w:basedOn w:val="Domylnaczcionkaakapitu"/>
    <w:uiPriority w:val="99"/>
    <w:semiHidden/>
    <w:unhideWhenUsed/>
    <w:rsid w:val="006F36A8"/>
    <w:rPr>
      <w:color w:val="605E5C"/>
      <w:shd w:val="clear" w:color="auto" w:fill="E1DFDD"/>
    </w:rPr>
  </w:style>
  <w:style w:type="character" w:customStyle="1" w:styleId="Nierozpoznanawzmianka5">
    <w:name w:val="Nierozpoznana wzmianka5"/>
    <w:basedOn w:val="Domylnaczcionkaakapitu"/>
    <w:uiPriority w:val="99"/>
    <w:semiHidden/>
    <w:unhideWhenUsed/>
    <w:rsid w:val="00E35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9714">
      <w:bodyDiv w:val="1"/>
      <w:marLeft w:val="0"/>
      <w:marRight w:val="0"/>
      <w:marTop w:val="0"/>
      <w:marBottom w:val="0"/>
      <w:divBdr>
        <w:top w:val="none" w:sz="0" w:space="0" w:color="auto"/>
        <w:left w:val="none" w:sz="0" w:space="0" w:color="auto"/>
        <w:bottom w:val="none" w:sz="0" w:space="0" w:color="auto"/>
        <w:right w:val="none" w:sz="0" w:space="0" w:color="auto"/>
      </w:divBdr>
    </w:div>
    <w:div w:id="155388088">
      <w:bodyDiv w:val="1"/>
      <w:marLeft w:val="0"/>
      <w:marRight w:val="0"/>
      <w:marTop w:val="0"/>
      <w:marBottom w:val="0"/>
      <w:divBdr>
        <w:top w:val="none" w:sz="0" w:space="0" w:color="auto"/>
        <w:left w:val="none" w:sz="0" w:space="0" w:color="auto"/>
        <w:bottom w:val="none" w:sz="0" w:space="0" w:color="auto"/>
        <w:right w:val="none" w:sz="0" w:space="0" w:color="auto"/>
      </w:divBdr>
    </w:div>
    <w:div w:id="209999969">
      <w:bodyDiv w:val="1"/>
      <w:marLeft w:val="0"/>
      <w:marRight w:val="0"/>
      <w:marTop w:val="0"/>
      <w:marBottom w:val="0"/>
      <w:divBdr>
        <w:top w:val="none" w:sz="0" w:space="0" w:color="auto"/>
        <w:left w:val="none" w:sz="0" w:space="0" w:color="auto"/>
        <w:bottom w:val="none" w:sz="0" w:space="0" w:color="auto"/>
        <w:right w:val="none" w:sz="0" w:space="0" w:color="auto"/>
      </w:divBdr>
    </w:div>
    <w:div w:id="299191866">
      <w:bodyDiv w:val="1"/>
      <w:marLeft w:val="0"/>
      <w:marRight w:val="0"/>
      <w:marTop w:val="0"/>
      <w:marBottom w:val="0"/>
      <w:divBdr>
        <w:top w:val="none" w:sz="0" w:space="0" w:color="auto"/>
        <w:left w:val="none" w:sz="0" w:space="0" w:color="auto"/>
        <w:bottom w:val="none" w:sz="0" w:space="0" w:color="auto"/>
        <w:right w:val="none" w:sz="0" w:space="0" w:color="auto"/>
      </w:divBdr>
    </w:div>
    <w:div w:id="350841882">
      <w:bodyDiv w:val="1"/>
      <w:marLeft w:val="0"/>
      <w:marRight w:val="0"/>
      <w:marTop w:val="0"/>
      <w:marBottom w:val="0"/>
      <w:divBdr>
        <w:top w:val="none" w:sz="0" w:space="0" w:color="auto"/>
        <w:left w:val="none" w:sz="0" w:space="0" w:color="auto"/>
        <w:bottom w:val="none" w:sz="0" w:space="0" w:color="auto"/>
        <w:right w:val="none" w:sz="0" w:space="0" w:color="auto"/>
      </w:divBdr>
    </w:div>
    <w:div w:id="590166590">
      <w:bodyDiv w:val="1"/>
      <w:marLeft w:val="0"/>
      <w:marRight w:val="0"/>
      <w:marTop w:val="0"/>
      <w:marBottom w:val="0"/>
      <w:divBdr>
        <w:top w:val="none" w:sz="0" w:space="0" w:color="auto"/>
        <w:left w:val="none" w:sz="0" w:space="0" w:color="auto"/>
        <w:bottom w:val="none" w:sz="0" w:space="0" w:color="auto"/>
        <w:right w:val="none" w:sz="0" w:space="0" w:color="auto"/>
      </w:divBdr>
    </w:div>
    <w:div w:id="600188377">
      <w:bodyDiv w:val="1"/>
      <w:marLeft w:val="0"/>
      <w:marRight w:val="0"/>
      <w:marTop w:val="0"/>
      <w:marBottom w:val="0"/>
      <w:divBdr>
        <w:top w:val="none" w:sz="0" w:space="0" w:color="auto"/>
        <w:left w:val="none" w:sz="0" w:space="0" w:color="auto"/>
        <w:bottom w:val="none" w:sz="0" w:space="0" w:color="auto"/>
        <w:right w:val="none" w:sz="0" w:space="0" w:color="auto"/>
      </w:divBdr>
    </w:div>
    <w:div w:id="865291951">
      <w:bodyDiv w:val="1"/>
      <w:marLeft w:val="0"/>
      <w:marRight w:val="0"/>
      <w:marTop w:val="0"/>
      <w:marBottom w:val="0"/>
      <w:divBdr>
        <w:top w:val="none" w:sz="0" w:space="0" w:color="auto"/>
        <w:left w:val="none" w:sz="0" w:space="0" w:color="auto"/>
        <w:bottom w:val="none" w:sz="0" w:space="0" w:color="auto"/>
        <w:right w:val="none" w:sz="0" w:space="0" w:color="auto"/>
      </w:divBdr>
    </w:div>
    <w:div w:id="866911569">
      <w:bodyDiv w:val="1"/>
      <w:marLeft w:val="0"/>
      <w:marRight w:val="0"/>
      <w:marTop w:val="0"/>
      <w:marBottom w:val="0"/>
      <w:divBdr>
        <w:top w:val="none" w:sz="0" w:space="0" w:color="auto"/>
        <w:left w:val="none" w:sz="0" w:space="0" w:color="auto"/>
        <w:bottom w:val="none" w:sz="0" w:space="0" w:color="auto"/>
        <w:right w:val="none" w:sz="0" w:space="0" w:color="auto"/>
      </w:divBdr>
    </w:div>
    <w:div w:id="1102140998">
      <w:bodyDiv w:val="1"/>
      <w:marLeft w:val="0"/>
      <w:marRight w:val="0"/>
      <w:marTop w:val="0"/>
      <w:marBottom w:val="0"/>
      <w:divBdr>
        <w:top w:val="none" w:sz="0" w:space="0" w:color="auto"/>
        <w:left w:val="none" w:sz="0" w:space="0" w:color="auto"/>
        <w:bottom w:val="none" w:sz="0" w:space="0" w:color="auto"/>
        <w:right w:val="none" w:sz="0" w:space="0" w:color="auto"/>
      </w:divBdr>
    </w:div>
    <w:div w:id="1108432139">
      <w:bodyDiv w:val="1"/>
      <w:marLeft w:val="0"/>
      <w:marRight w:val="0"/>
      <w:marTop w:val="0"/>
      <w:marBottom w:val="0"/>
      <w:divBdr>
        <w:top w:val="none" w:sz="0" w:space="0" w:color="auto"/>
        <w:left w:val="none" w:sz="0" w:space="0" w:color="auto"/>
        <w:bottom w:val="none" w:sz="0" w:space="0" w:color="auto"/>
        <w:right w:val="none" w:sz="0" w:space="0" w:color="auto"/>
      </w:divBdr>
    </w:div>
    <w:div w:id="1179193413">
      <w:bodyDiv w:val="1"/>
      <w:marLeft w:val="0"/>
      <w:marRight w:val="0"/>
      <w:marTop w:val="0"/>
      <w:marBottom w:val="0"/>
      <w:divBdr>
        <w:top w:val="none" w:sz="0" w:space="0" w:color="auto"/>
        <w:left w:val="none" w:sz="0" w:space="0" w:color="auto"/>
        <w:bottom w:val="none" w:sz="0" w:space="0" w:color="auto"/>
        <w:right w:val="none" w:sz="0" w:space="0" w:color="auto"/>
      </w:divBdr>
    </w:div>
    <w:div w:id="1224366315">
      <w:bodyDiv w:val="1"/>
      <w:marLeft w:val="0"/>
      <w:marRight w:val="0"/>
      <w:marTop w:val="0"/>
      <w:marBottom w:val="0"/>
      <w:divBdr>
        <w:top w:val="none" w:sz="0" w:space="0" w:color="auto"/>
        <w:left w:val="none" w:sz="0" w:space="0" w:color="auto"/>
        <w:bottom w:val="none" w:sz="0" w:space="0" w:color="auto"/>
        <w:right w:val="none" w:sz="0" w:space="0" w:color="auto"/>
      </w:divBdr>
    </w:div>
    <w:div w:id="1608153661">
      <w:bodyDiv w:val="1"/>
      <w:marLeft w:val="0"/>
      <w:marRight w:val="0"/>
      <w:marTop w:val="0"/>
      <w:marBottom w:val="0"/>
      <w:divBdr>
        <w:top w:val="none" w:sz="0" w:space="0" w:color="auto"/>
        <w:left w:val="none" w:sz="0" w:space="0" w:color="auto"/>
        <w:bottom w:val="none" w:sz="0" w:space="0" w:color="auto"/>
        <w:right w:val="none" w:sz="0" w:space="0" w:color="auto"/>
      </w:divBdr>
      <w:divsChild>
        <w:div w:id="1850022787">
          <w:marLeft w:val="0"/>
          <w:marRight w:val="0"/>
          <w:marTop w:val="0"/>
          <w:marBottom w:val="0"/>
          <w:divBdr>
            <w:top w:val="none" w:sz="0" w:space="0" w:color="auto"/>
            <w:left w:val="none" w:sz="0" w:space="0" w:color="auto"/>
            <w:bottom w:val="none" w:sz="0" w:space="0" w:color="auto"/>
            <w:right w:val="none" w:sz="0" w:space="0" w:color="auto"/>
          </w:divBdr>
        </w:div>
        <w:div w:id="1851724047">
          <w:marLeft w:val="0"/>
          <w:marRight w:val="0"/>
          <w:marTop w:val="0"/>
          <w:marBottom w:val="0"/>
          <w:divBdr>
            <w:top w:val="none" w:sz="0" w:space="0" w:color="auto"/>
            <w:left w:val="none" w:sz="0" w:space="0" w:color="auto"/>
            <w:bottom w:val="none" w:sz="0" w:space="0" w:color="auto"/>
            <w:right w:val="none" w:sz="0" w:space="0" w:color="auto"/>
          </w:divBdr>
        </w:div>
        <w:div w:id="2086028412">
          <w:marLeft w:val="0"/>
          <w:marRight w:val="0"/>
          <w:marTop w:val="0"/>
          <w:marBottom w:val="0"/>
          <w:divBdr>
            <w:top w:val="none" w:sz="0" w:space="0" w:color="auto"/>
            <w:left w:val="none" w:sz="0" w:space="0" w:color="auto"/>
            <w:bottom w:val="none" w:sz="0" w:space="0" w:color="auto"/>
            <w:right w:val="none" w:sz="0" w:space="0" w:color="auto"/>
          </w:divBdr>
        </w:div>
      </w:divsChild>
    </w:div>
    <w:div w:id="1706827192">
      <w:bodyDiv w:val="1"/>
      <w:marLeft w:val="0"/>
      <w:marRight w:val="0"/>
      <w:marTop w:val="0"/>
      <w:marBottom w:val="0"/>
      <w:divBdr>
        <w:top w:val="none" w:sz="0" w:space="0" w:color="auto"/>
        <w:left w:val="none" w:sz="0" w:space="0" w:color="auto"/>
        <w:bottom w:val="none" w:sz="0" w:space="0" w:color="auto"/>
        <w:right w:val="none" w:sz="0" w:space="0" w:color="auto"/>
      </w:divBdr>
    </w:div>
    <w:div w:id="1717971484">
      <w:bodyDiv w:val="1"/>
      <w:marLeft w:val="0"/>
      <w:marRight w:val="0"/>
      <w:marTop w:val="0"/>
      <w:marBottom w:val="0"/>
      <w:divBdr>
        <w:top w:val="none" w:sz="0" w:space="0" w:color="auto"/>
        <w:left w:val="none" w:sz="0" w:space="0" w:color="auto"/>
        <w:bottom w:val="none" w:sz="0" w:space="0" w:color="auto"/>
        <w:right w:val="none" w:sz="0" w:space="0" w:color="auto"/>
      </w:divBdr>
    </w:div>
    <w:div w:id="185587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vironment.ec.europa.eu/topics/nature-and-biodiversity/green-infrastructure_en" TargetMode="External"/><Relationship Id="rId13" Type="http://schemas.openxmlformats.org/officeDocument/2006/relationships/hyperlink" Target="https://www.bgk.pl/programy-i-fundusze/fundusze/fundusze-europejskie/projekty/fundusze-europejskie-dla-regionow-2021-2027/dokumenty-do-pobrani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gk.pl/files/public/Fundusze_Europejskie_dla_regionow/Przewodnik_do_analizy_wykonalnosci_OZE.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etencja/blekitno-zielona-infrastruktura-dlaczego-jest-tak-wazna-dla-retencj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vironment.ec.europa.eu/topics/nature-and-biodiversity/green-infrastructure_e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retencja/blekitno-zielona-infrastruktura-dlaczego-jest-tak-wazna-dla-retencji" TargetMode="External"/><Relationship Id="rId14" Type="http://schemas.openxmlformats.org/officeDocument/2006/relationships/hyperlink" Target="https://eur-lex.europa.eu/legal-content/PL/TXT/HTML/?uri=CELEX:52016XC0719(0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B022E-50DB-4730-BF31-9EC1B4B7A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4108</Words>
  <Characters>24653</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Bank Gospodarstwa Krajowego</Company>
  <LinksUpToDate>false</LinksUpToDate>
  <CharactersWithSpaces>28704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Baczewski, Jacek</dc:creator>
  <cp:keywords/>
  <dc:description/>
  <cp:lastModifiedBy>Patrycja Wójcik</cp:lastModifiedBy>
  <cp:revision>12</cp:revision>
  <cp:lastPrinted>2026-01-05T14:43:00Z</cp:lastPrinted>
  <dcterms:created xsi:type="dcterms:W3CDTF">2026-06-27T00:47:00Z</dcterms:created>
  <dcterms:modified xsi:type="dcterms:W3CDTF">2026-08-04T07:36:00Z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Krzysztof.Lesniak@bgk.pl</vt:lpwstr>
  </property>
  <property fmtid="{D5CDD505-2E9C-101B-9397-08002B2CF9AE}" pid="5" name="MSIP_Label_ffd642cb-f5ac-4f9c-8f91-3377ed972e0d_SetDate">
    <vt:lpwstr>2018-11-14T11:54:27.3499546Z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c668bcff-e2d1-47e2-adc1-b3354af02961_Enabled">
    <vt:lpwstr>true</vt:lpwstr>
  </property>
  <property fmtid="{D5CDD505-2E9C-101B-9397-08002B2CF9AE}" pid="10" name="MSIP_Label_c668bcff-e2d1-47e2-adc1-b3354af02961_SetDate">
    <vt:lpwstr>2021-11-22T15:34:51Z</vt:lpwstr>
  </property>
  <property fmtid="{D5CDD505-2E9C-101B-9397-08002B2CF9AE}" pid="11" name="MSIP_Label_c668bcff-e2d1-47e2-adc1-b3354af02961_Method">
    <vt:lpwstr>Privileged</vt:lpwstr>
  </property>
  <property fmtid="{D5CDD505-2E9C-101B-9397-08002B2CF9AE}" pid="12" name="MSIP_Label_c668bcff-e2d1-47e2-adc1-b3354af02961_Name">
    <vt:lpwstr>c668bcff-e2d1-47e2-adc1-b3354af02961</vt:lpwstr>
  </property>
  <property fmtid="{D5CDD505-2E9C-101B-9397-08002B2CF9AE}" pid="13" name="MSIP_Label_c668bcff-e2d1-47e2-adc1-b3354af02961_SiteId">
    <vt:lpwstr>29bb5b9c-200a-4906-89ef-c651c86ab301</vt:lpwstr>
  </property>
  <property fmtid="{D5CDD505-2E9C-101B-9397-08002B2CF9AE}" pid="14" name="MSIP_Label_c668bcff-e2d1-47e2-adc1-b3354af02961_ContentBits">
    <vt:lpwstr>0</vt:lpwstr>
  </property>
</Properties>
</file>